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297" w:rsidRDefault="00B85297" w:rsidP="00B85297">
      <w:pPr>
        <w:pStyle w:val="NormalWeb"/>
        <w:contextualSpacing/>
        <w:jc w:val="center"/>
        <w:rPr>
          <w:rFonts w:ascii="Century Schoolbook" w:hAnsi="Century Schoolbook"/>
          <w:b/>
          <w:bCs/>
          <w:sz w:val="32"/>
          <w:szCs w:val="32"/>
        </w:rPr>
      </w:pPr>
      <w:r>
        <w:rPr>
          <w:rFonts w:ascii="Century Schoolbook" w:hAnsi="Century Schoolbook"/>
          <w:b/>
          <w:bCs/>
          <w:sz w:val="32"/>
          <w:szCs w:val="32"/>
        </w:rPr>
        <w:t xml:space="preserve">Court of Criminal Appeals </w:t>
      </w:r>
    </w:p>
    <w:p w:rsidR="00B85297" w:rsidRDefault="00B85297" w:rsidP="00B85297">
      <w:pPr>
        <w:pStyle w:val="NormalWeb"/>
        <w:contextualSpacing/>
        <w:jc w:val="center"/>
        <w:rPr>
          <w:rFonts w:ascii="Century Schoolbook" w:hAnsi="Century Schoolbook"/>
          <w:b/>
          <w:bCs/>
          <w:sz w:val="32"/>
          <w:szCs w:val="32"/>
        </w:rPr>
      </w:pPr>
      <w:r>
        <w:rPr>
          <w:rFonts w:ascii="Century Schoolbook" w:hAnsi="Century Schoolbook"/>
          <w:b/>
          <w:bCs/>
          <w:sz w:val="32"/>
          <w:szCs w:val="32"/>
        </w:rPr>
        <w:t>February 10, 2016</w:t>
      </w:r>
    </w:p>
    <w:p w:rsidR="00B85297" w:rsidRPr="00B85297" w:rsidRDefault="00B85297" w:rsidP="00B85297">
      <w:pPr>
        <w:pStyle w:val="NormalWeb"/>
        <w:contextualSpacing/>
        <w:jc w:val="center"/>
        <w:rPr>
          <w:rFonts w:ascii="Century Schoolbook" w:hAnsi="Century Schoolbook"/>
          <w:b/>
          <w:bCs/>
          <w:sz w:val="32"/>
          <w:szCs w:val="32"/>
        </w:rPr>
      </w:pPr>
    </w:p>
    <w:p w:rsidR="00B85297" w:rsidRDefault="00B85297" w:rsidP="00A003F5">
      <w:pPr>
        <w:pStyle w:val="NormalWeb"/>
        <w:contextualSpacing/>
      </w:pPr>
      <w:proofErr w:type="spellStart"/>
      <w:r>
        <w:rPr>
          <w:rFonts w:ascii="Century Schoolbook" w:hAnsi="Century Schoolbook"/>
          <w:b/>
          <w:bCs/>
          <w:i/>
          <w:iCs/>
          <w:sz w:val="28"/>
          <w:szCs w:val="28"/>
        </w:rPr>
        <w:t>Blea</w:t>
      </w:r>
      <w:proofErr w:type="spellEnd"/>
      <w:r>
        <w:rPr>
          <w:rFonts w:ascii="Century Schoolbook" w:hAnsi="Century Schoolbook"/>
          <w:b/>
          <w:bCs/>
          <w:i/>
          <w:iCs/>
          <w:sz w:val="28"/>
          <w:szCs w:val="28"/>
        </w:rPr>
        <w:t xml:space="preserve"> v. </w:t>
      </w:r>
      <w:r w:rsidR="00A003F5">
        <w:rPr>
          <w:rFonts w:ascii="Century Schoolbook" w:hAnsi="Century Schoolbook"/>
          <w:b/>
          <w:bCs/>
          <w:i/>
          <w:iCs/>
          <w:sz w:val="28"/>
          <w:szCs w:val="28"/>
        </w:rPr>
        <w:t>State</w:t>
      </w:r>
    </w:p>
    <w:p w:rsidR="00B85297" w:rsidRDefault="00B85297" w:rsidP="00A003F5">
      <w:pPr>
        <w:pStyle w:val="NormalWeb"/>
        <w:contextualSpacing/>
        <w:rPr>
          <w:rFonts w:ascii="Century Schoolbook" w:hAnsi="Century Schoolbook"/>
          <w:sz w:val="28"/>
          <w:szCs w:val="28"/>
        </w:rPr>
      </w:pPr>
      <w:r>
        <w:rPr>
          <w:rFonts w:ascii="Century Schoolbook" w:hAnsi="Century Schoolbook"/>
          <w:sz w:val="28"/>
          <w:szCs w:val="28"/>
        </w:rPr>
        <w:t xml:space="preserve">No. </w:t>
      </w:r>
      <w:proofErr w:type="gramStart"/>
      <w:r>
        <w:rPr>
          <w:rFonts w:ascii="Century Schoolbook" w:hAnsi="Century Schoolbook"/>
          <w:color w:val="232323"/>
          <w:sz w:val="28"/>
          <w:szCs w:val="28"/>
        </w:rPr>
        <w:t>PD-0245-15</w:t>
      </w:r>
      <w:r>
        <w:rPr>
          <w:rFonts w:ascii="Century Schoolbook" w:hAnsi="Century Schoolbook"/>
          <w:color w:val="232323"/>
          <w:sz w:val="28"/>
          <w:szCs w:val="28"/>
        </w:rPr>
        <w:br/>
      </w:r>
      <w:r>
        <w:rPr>
          <w:rFonts w:ascii="Century Schoolbook" w:hAnsi="Century Schoolbook"/>
          <w:sz w:val="28"/>
          <w:szCs w:val="28"/>
        </w:rPr>
        <w:t>Case Summary written by Eric Clinton, Staff Member.</w:t>
      </w:r>
      <w:proofErr w:type="gramEnd"/>
    </w:p>
    <w:p w:rsidR="00B85297" w:rsidRDefault="00B85297" w:rsidP="00B85297">
      <w:pPr>
        <w:pStyle w:val="NormalWeb"/>
        <w:contextualSpacing/>
        <w:jc w:val="center"/>
        <w:rPr>
          <w:rFonts w:ascii="Century Schoolbook" w:hAnsi="Century Schoolbook"/>
          <w:sz w:val="28"/>
          <w:szCs w:val="28"/>
        </w:rPr>
      </w:pPr>
    </w:p>
    <w:p w:rsidR="00B85297" w:rsidRPr="00A003F5" w:rsidRDefault="00A003F5" w:rsidP="00B85297">
      <w:pPr>
        <w:pStyle w:val="NormalWeb"/>
        <w:contextualSpacing/>
        <w:rPr>
          <w:rFonts w:ascii="Century Schoolbook" w:hAnsi="Century Schoolbook"/>
          <w:sz w:val="28"/>
          <w:szCs w:val="28"/>
        </w:rPr>
      </w:pPr>
      <w:r>
        <w:rPr>
          <w:rFonts w:ascii="Century Schoolbook" w:hAnsi="Century Schoolbook"/>
          <w:smallCaps/>
          <w:sz w:val="28"/>
          <w:szCs w:val="28"/>
        </w:rPr>
        <w:t xml:space="preserve">JUDGE ALCALA </w:t>
      </w:r>
      <w:r>
        <w:rPr>
          <w:rFonts w:ascii="Century Schoolbook" w:hAnsi="Century Schoolbook"/>
          <w:sz w:val="28"/>
          <w:szCs w:val="28"/>
        </w:rPr>
        <w:t>delivered the opinion of the court.</w:t>
      </w:r>
    </w:p>
    <w:p w:rsidR="00B85297" w:rsidRDefault="00B85297" w:rsidP="00A003F5">
      <w:pPr>
        <w:pStyle w:val="NormalWeb"/>
        <w:contextualSpacing/>
        <w:jc w:val="both"/>
        <w:rPr>
          <w:rFonts w:ascii="Century Schoolbook" w:hAnsi="Century Schoolbook"/>
          <w:sz w:val="28"/>
          <w:szCs w:val="28"/>
        </w:rPr>
      </w:pPr>
      <w:r w:rsidRPr="00B85297">
        <w:rPr>
          <w:rFonts w:ascii="Century Schoolbook" w:hAnsi="Century Schoolbook"/>
          <w:sz w:val="28"/>
          <w:szCs w:val="28"/>
        </w:rPr>
        <w:tab/>
      </w:r>
      <w:r w:rsidR="002D3E97">
        <w:rPr>
          <w:rFonts w:ascii="Century Schoolbook" w:hAnsi="Century Schoolbook"/>
          <w:sz w:val="28"/>
          <w:szCs w:val="28"/>
        </w:rPr>
        <w:t>In July 2010,</w:t>
      </w:r>
      <w:r>
        <w:rPr>
          <w:rFonts w:ascii="Century Schoolbook" w:hAnsi="Century Schoolbook"/>
          <w:sz w:val="28"/>
          <w:szCs w:val="28"/>
        </w:rPr>
        <w:t xml:space="preserve"> </w:t>
      </w:r>
      <w:r w:rsidRPr="00B85297">
        <w:rPr>
          <w:rFonts w:ascii="Century Schoolbook" w:hAnsi="Century Schoolbook"/>
          <w:sz w:val="28"/>
          <w:szCs w:val="28"/>
        </w:rPr>
        <w:t xml:space="preserve">Juan </w:t>
      </w:r>
      <w:proofErr w:type="spellStart"/>
      <w:r w:rsidRPr="00B85297">
        <w:rPr>
          <w:rFonts w:ascii="Century Schoolbook" w:hAnsi="Century Schoolbook"/>
          <w:sz w:val="28"/>
          <w:szCs w:val="28"/>
        </w:rPr>
        <w:t>Blea</w:t>
      </w:r>
      <w:proofErr w:type="spellEnd"/>
      <w:r>
        <w:rPr>
          <w:rFonts w:ascii="Century Schoolbook" w:hAnsi="Century Schoolbook"/>
          <w:sz w:val="28"/>
          <w:szCs w:val="28"/>
        </w:rPr>
        <w:t xml:space="preserve">, the appellant, </w:t>
      </w:r>
      <w:r w:rsidR="00A003F5">
        <w:rPr>
          <w:rFonts w:ascii="Century Schoolbook" w:hAnsi="Century Schoolbook"/>
          <w:sz w:val="28"/>
          <w:szCs w:val="28"/>
        </w:rPr>
        <w:t>went to his parent</w:t>
      </w:r>
      <w:r w:rsidR="002D3E97">
        <w:rPr>
          <w:rFonts w:ascii="Century Schoolbook" w:hAnsi="Century Schoolbook"/>
          <w:sz w:val="28"/>
          <w:szCs w:val="28"/>
        </w:rPr>
        <w:t>s</w:t>
      </w:r>
      <w:r w:rsidR="00A003F5">
        <w:rPr>
          <w:rFonts w:ascii="Century Schoolbook" w:hAnsi="Century Schoolbook"/>
          <w:sz w:val="28"/>
          <w:szCs w:val="28"/>
        </w:rPr>
        <w:t>’</w:t>
      </w:r>
      <w:r w:rsidR="002D3E97">
        <w:rPr>
          <w:rFonts w:ascii="Century Schoolbook" w:hAnsi="Century Schoolbook"/>
          <w:sz w:val="28"/>
          <w:szCs w:val="28"/>
        </w:rPr>
        <w:t xml:space="preserve"> apartment in order to visit his daughter and her mother. When he arrived, the appellant noticed a “hickey” on the mother’s neck. After being told that the mark came from another man the night before, appellant became angry and threatened to kill the mother and began to physically assault her. The victim was unable to specifically describe the assault, but felt as if </w:t>
      </w:r>
      <w:r w:rsidR="00206B46">
        <w:rPr>
          <w:rFonts w:ascii="Century Schoolbook" w:hAnsi="Century Schoolbook"/>
          <w:sz w:val="28"/>
          <w:szCs w:val="28"/>
        </w:rPr>
        <w:t>“</w:t>
      </w:r>
      <w:r w:rsidR="002D3E97">
        <w:rPr>
          <w:rFonts w:ascii="Century Schoolbook" w:hAnsi="Century Schoolbook"/>
          <w:sz w:val="28"/>
          <w:szCs w:val="28"/>
        </w:rPr>
        <w:t xml:space="preserve">something had been broken or </w:t>
      </w:r>
      <w:r w:rsidR="00206B46">
        <w:rPr>
          <w:rFonts w:ascii="Century Schoolbook" w:hAnsi="Century Schoolbook"/>
          <w:sz w:val="28"/>
          <w:szCs w:val="28"/>
        </w:rPr>
        <w:t>injured during the assault.</w:t>
      </w:r>
      <w:r w:rsidR="00A003F5">
        <w:rPr>
          <w:rFonts w:ascii="Century Schoolbook" w:hAnsi="Century Schoolbook"/>
          <w:sz w:val="28"/>
          <w:szCs w:val="28"/>
        </w:rPr>
        <w:t>”</w:t>
      </w:r>
    </w:p>
    <w:p w:rsidR="00206B46" w:rsidRDefault="00206B46" w:rsidP="00A003F5">
      <w:pPr>
        <w:pStyle w:val="NormalWeb"/>
        <w:contextualSpacing/>
        <w:jc w:val="both"/>
        <w:rPr>
          <w:rFonts w:ascii="Century Schoolbook" w:hAnsi="Century Schoolbook"/>
          <w:sz w:val="28"/>
          <w:szCs w:val="28"/>
        </w:rPr>
      </w:pPr>
      <w:r>
        <w:rPr>
          <w:rFonts w:ascii="Century Schoolbook" w:hAnsi="Century Schoolbook"/>
          <w:sz w:val="28"/>
          <w:szCs w:val="28"/>
        </w:rPr>
        <w:tab/>
        <w:t>When the appellant’s parents returned home, they observed that the victim was in pain and called the police. The responding officer called for an ambulance to take the victim to the hospital, where she stayed for four days. Her injuries included a collapsed lung, “lacerated liver, two rib fractures, and a fractured maxillary sinus bone.” The appellant was convicted of first-degree aggravated assault of a family member.</w:t>
      </w:r>
    </w:p>
    <w:p w:rsidR="0087373C" w:rsidRDefault="0087373C" w:rsidP="00A003F5">
      <w:pPr>
        <w:pStyle w:val="NormalWeb"/>
        <w:ind w:firstLine="720"/>
        <w:contextualSpacing/>
        <w:jc w:val="both"/>
        <w:rPr>
          <w:rFonts w:ascii="Century Schoolbook" w:hAnsi="Century Schoolbook"/>
          <w:sz w:val="28"/>
          <w:szCs w:val="28"/>
        </w:rPr>
      </w:pPr>
      <w:r>
        <w:rPr>
          <w:rFonts w:ascii="Century Schoolbook" w:hAnsi="Century Schoolbook"/>
          <w:sz w:val="28"/>
          <w:szCs w:val="28"/>
        </w:rPr>
        <w:tab/>
        <w:t xml:space="preserve">The elements of first-degree aggravated assault of a family member require evidence that </w:t>
      </w:r>
      <w:r w:rsidR="00A003F5">
        <w:rPr>
          <w:rFonts w:ascii="Century Schoolbook" w:hAnsi="Century Schoolbook"/>
          <w:sz w:val="28"/>
          <w:szCs w:val="28"/>
        </w:rPr>
        <w:t>(</w:t>
      </w:r>
      <w:r>
        <w:rPr>
          <w:rFonts w:ascii="Century Schoolbook" w:hAnsi="Century Schoolbook"/>
          <w:sz w:val="28"/>
          <w:szCs w:val="28"/>
        </w:rPr>
        <w:t xml:space="preserve">1) the actor used a deadly weapon during the assault and </w:t>
      </w:r>
      <w:r w:rsidR="00A003F5">
        <w:rPr>
          <w:rFonts w:ascii="Century Schoolbook" w:hAnsi="Century Schoolbook"/>
          <w:sz w:val="28"/>
          <w:szCs w:val="28"/>
        </w:rPr>
        <w:t>(</w:t>
      </w:r>
      <w:r>
        <w:rPr>
          <w:rFonts w:ascii="Century Schoolbook" w:hAnsi="Century Schoolbook"/>
          <w:sz w:val="28"/>
          <w:szCs w:val="28"/>
        </w:rPr>
        <w:t>2) the actor caused serious bodily injury to a family member. Further, the court recognizes “serious bodily injury” as being “bodily injury that creates a substantial risk of death or that causes death, serious permanent disfigurement, or protracted loss or impairment of the function of a bodily organ.”</w:t>
      </w:r>
    </w:p>
    <w:p w:rsidR="004F6C72" w:rsidRDefault="004F6C72" w:rsidP="00A003F5">
      <w:pPr>
        <w:pStyle w:val="NormalWeb"/>
        <w:ind w:firstLine="720"/>
        <w:contextualSpacing/>
        <w:jc w:val="both"/>
        <w:rPr>
          <w:rFonts w:ascii="Century Schoolbook" w:hAnsi="Century Schoolbook"/>
          <w:sz w:val="28"/>
          <w:szCs w:val="28"/>
        </w:rPr>
      </w:pPr>
      <w:r>
        <w:rPr>
          <w:rFonts w:ascii="Century Schoolbook" w:hAnsi="Century Schoolbook"/>
          <w:sz w:val="28"/>
          <w:szCs w:val="28"/>
        </w:rPr>
        <w:t>T</w:t>
      </w:r>
      <w:r w:rsidR="00206B46">
        <w:rPr>
          <w:rFonts w:ascii="Century Schoolbook" w:hAnsi="Century Schoolbook"/>
          <w:sz w:val="28"/>
          <w:szCs w:val="28"/>
        </w:rPr>
        <w:t>he court of appeals</w:t>
      </w:r>
      <w:r>
        <w:rPr>
          <w:rFonts w:ascii="Century Schoolbook" w:hAnsi="Century Schoolbook"/>
          <w:sz w:val="28"/>
          <w:szCs w:val="28"/>
        </w:rPr>
        <w:t xml:space="preserve"> remanded the case, finding that </w:t>
      </w:r>
      <w:r w:rsidR="00206B46">
        <w:rPr>
          <w:rFonts w:ascii="Century Schoolbook" w:hAnsi="Century Schoolbook"/>
          <w:sz w:val="28"/>
          <w:szCs w:val="28"/>
        </w:rPr>
        <w:t>that the evidence failed to establish</w:t>
      </w:r>
      <w:r>
        <w:rPr>
          <w:rFonts w:ascii="Century Schoolbook" w:hAnsi="Century Schoolbook"/>
          <w:sz w:val="28"/>
          <w:szCs w:val="28"/>
        </w:rPr>
        <w:t xml:space="preserve"> that the victim suffered serious bodily injury. The court’s majority explained that the victim’s collapsed lung and lacerated liver did not show that she faced a substantial risk of death. Despite noting that both of those injuries are potentially life threatening, the court of appeals held that there was no evidence that the victim, in this particular situation, ever faced a substantial risk of death. </w:t>
      </w:r>
    </w:p>
    <w:p w:rsidR="00206B46" w:rsidRDefault="004F6C72" w:rsidP="00A003F5">
      <w:pPr>
        <w:pStyle w:val="NormalWeb"/>
        <w:ind w:firstLine="720"/>
        <w:contextualSpacing/>
        <w:jc w:val="both"/>
        <w:rPr>
          <w:rFonts w:ascii="Century Schoolbook" w:hAnsi="Century Schoolbook"/>
          <w:sz w:val="28"/>
          <w:szCs w:val="28"/>
        </w:rPr>
      </w:pPr>
      <w:r>
        <w:rPr>
          <w:rFonts w:ascii="Century Schoolbook" w:hAnsi="Century Schoolbook"/>
          <w:sz w:val="28"/>
          <w:szCs w:val="28"/>
        </w:rPr>
        <w:lastRenderedPageBreak/>
        <w:t>The state challenged this ruling, claiming the jury could have inferred, from the totality of the evidence, that the victim faced a substantial risk of death.</w:t>
      </w:r>
    </w:p>
    <w:p w:rsidR="00206B46" w:rsidRDefault="003D594A" w:rsidP="00A003F5">
      <w:pPr>
        <w:pStyle w:val="NormalWeb"/>
        <w:ind w:firstLine="720"/>
        <w:contextualSpacing/>
        <w:jc w:val="both"/>
        <w:rPr>
          <w:rFonts w:ascii="Century Schoolbook" w:hAnsi="Century Schoolbook"/>
          <w:sz w:val="28"/>
          <w:szCs w:val="28"/>
        </w:rPr>
      </w:pPr>
      <w:r w:rsidRPr="00A003F5">
        <w:rPr>
          <w:rFonts w:ascii="Century Schoolbook" w:hAnsi="Century Schoolbook"/>
          <w:sz w:val="28"/>
          <w:szCs w:val="28"/>
          <w:u w:val="single"/>
        </w:rPr>
        <w:t>Issue:</w:t>
      </w:r>
      <w:r>
        <w:rPr>
          <w:rFonts w:ascii="Century Schoolbook" w:hAnsi="Century Schoolbook"/>
          <w:sz w:val="28"/>
          <w:szCs w:val="28"/>
        </w:rPr>
        <w:t xml:space="preserve"> </w:t>
      </w:r>
      <w:r w:rsidR="0087373C">
        <w:rPr>
          <w:rFonts w:ascii="Century Schoolbook" w:hAnsi="Century Schoolbook"/>
          <w:sz w:val="28"/>
          <w:szCs w:val="28"/>
        </w:rPr>
        <w:t xml:space="preserve">How should the court weigh the effects of medical treatment when determining whether particular injuries constitute serious bodily injury? </w:t>
      </w:r>
    </w:p>
    <w:p w:rsidR="0087373C" w:rsidRDefault="0087373C" w:rsidP="00A003F5">
      <w:pPr>
        <w:pStyle w:val="NormalWeb"/>
        <w:ind w:firstLine="720"/>
        <w:contextualSpacing/>
        <w:jc w:val="both"/>
        <w:rPr>
          <w:rFonts w:ascii="Century Schoolbook" w:hAnsi="Century Schoolbook"/>
          <w:sz w:val="28"/>
          <w:szCs w:val="28"/>
        </w:rPr>
      </w:pPr>
      <w:r>
        <w:rPr>
          <w:rFonts w:ascii="Century Schoolbook" w:hAnsi="Century Schoolbook"/>
          <w:sz w:val="28"/>
          <w:szCs w:val="28"/>
        </w:rPr>
        <w:t>The Court of Criminal Appeals noted that there were inconsistencies in the court’s precedent. For one, a vast majority of the court’s decisions have held that the court should focus on the degree of risk posed by the injury, without regard for the effect of medical treatment.</w:t>
      </w:r>
      <w:r w:rsidR="00CF300E">
        <w:rPr>
          <w:rFonts w:ascii="Century Schoolbook" w:hAnsi="Century Schoolbook"/>
          <w:sz w:val="28"/>
          <w:szCs w:val="28"/>
        </w:rPr>
        <w:t xml:space="preserve"> In one case, however, a plurality of the court held that the effects of medical treatment should be taken into effect.</w:t>
      </w:r>
    </w:p>
    <w:p w:rsidR="004778D6" w:rsidRDefault="00CF300E" w:rsidP="00A003F5">
      <w:pPr>
        <w:pStyle w:val="NormalWeb"/>
        <w:ind w:firstLine="720"/>
        <w:contextualSpacing/>
        <w:jc w:val="both"/>
        <w:rPr>
          <w:rFonts w:ascii="Century Schoolbook" w:hAnsi="Century Schoolbook"/>
          <w:sz w:val="28"/>
          <w:szCs w:val="28"/>
        </w:rPr>
      </w:pPr>
      <w:r>
        <w:rPr>
          <w:rFonts w:ascii="Century Schoolbook" w:hAnsi="Century Schoolbook"/>
          <w:sz w:val="28"/>
          <w:szCs w:val="28"/>
        </w:rPr>
        <w:t xml:space="preserve">The court found three reasons why </w:t>
      </w:r>
      <w:r w:rsidR="00A003F5">
        <w:rPr>
          <w:rFonts w:ascii="Century Schoolbook" w:hAnsi="Century Schoolbook"/>
          <w:sz w:val="28"/>
          <w:szCs w:val="28"/>
        </w:rPr>
        <w:t>it</w:t>
      </w:r>
      <w:r>
        <w:rPr>
          <w:rFonts w:ascii="Century Schoolbook" w:hAnsi="Century Schoolbook"/>
          <w:sz w:val="28"/>
          <w:szCs w:val="28"/>
        </w:rPr>
        <w:t xml:space="preserve"> should disregard the plurality opinion. First, the plain language of the statute—“creates a substantial risk of death”—refers only to the injury caused by the actor, and does not give any consideration to medical treatment. Second, the plurality opinion is an isolated case that is inconsistent with other Court of Criminal Appeals holdings. Finally, the court notes that a plurality opinion is not binding precedent. Thus,</w:t>
      </w:r>
      <w:r w:rsidR="004778D6">
        <w:rPr>
          <w:rFonts w:ascii="Century Schoolbook" w:hAnsi="Century Schoolbook"/>
          <w:sz w:val="28"/>
          <w:szCs w:val="28"/>
        </w:rPr>
        <w:t xml:space="preserve"> courts should not consider the “amelioration or exacerbation of an injury by actions not attributable to the offender, such as medical treatment” when evaluating whether the victim suffered serious bodily injury.</w:t>
      </w:r>
    </w:p>
    <w:p w:rsidR="004778D6" w:rsidRDefault="00CF300E" w:rsidP="00A003F5">
      <w:pPr>
        <w:pStyle w:val="NormalWeb"/>
        <w:ind w:firstLine="720"/>
        <w:contextualSpacing/>
        <w:jc w:val="both"/>
        <w:rPr>
          <w:rFonts w:ascii="Century Schoolbook" w:hAnsi="Century Schoolbook"/>
          <w:sz w:val="28"/>
          <w:szCs w:val="28"/>
        </w:rPr>
      </w:pPr>
      <w:r>
        <w:rPr>
          <w:rFonts w:ascii="Century Schoolbook" w:hAnsi="Century Schoolbook"/>
          <w:sz w:val="28"/>
          <w:szCs w:val="28"/>
        </w:rPr>
        <w:t>After determining that</w:t>
      </w:r>
      <w:r w:rsidR="004778D6">
        <w:rPr>
          <w:rFonts w:ascii="Century Schoolbook" w:hAnsi="Century Schoolbook"/>
          <w:sz w:val="28"/>
          <w:szCs w:val="28"/>
        </w:rPr>
        <w:t xml:space="preserve"> courts should give no weight to the effect that medical treatment had on the injury, the Court of Criminal Appeals had to consider whether a jury could have rationally found that the victim faced a substantial risk of death. The court noted a nurse’s testimony that “lung injuries such as these can affect a persons blood pressure and ‘vital signs.’” Additionally, the nurse described the victims liver injury as one that could cause a patient to “bleed to death very quickly.” </w:t>
      </w:r>
      <w:r w:rsidR="00133EB7">
        <w:rPr>
          <w:rFonts w:ascii="Century Schoolbook" w:hAnsi="Century Schoolbook"/>
          <w:sz w:val="28"/>
          <w:szCs w:val="28"/>
        </w:rPr>
        <w:t xml:space="preserve">Due to this evidence, the Court of </w:t>
      </w:r>
      <w:r w:rsidR="0049585C">
        <w:rPr>
          <w:rFonts w:ascii="Century Schoolbook" w:hAnsi="Century Schoolbook"/>
          <w:sz w:val="28"/>
          <w:szCs w:val="28"/>
        </w:rPr>
        <w:t xml:space="preserve">Criminal </w:t>
      </w:r>
      <w:r w:rsidR="00133EB7">
        <w:rPr>
          <w:rFonts w:ascii="Century Schoolbook" w:hAnsi="Century Schoolbook"/>
          <w:sz w:val="28"/>
          <w:szCs w:val="28"/>
        </w:rPr>
        <w:t>Appeals concluded that the evidence was sufficient t</w:t>
      </w:r>
      <w:r w:rsidR="0049585C">
        <w:rPr>
          <w:rFonts w:ascii="Century Schoolbook" w:hAnsi="Century Schoolbook"/>
          <w:sz w:val="28"/>
          <w:szCs w:val="28"/>
        </w:rPr>
        <w:t xml:space="preserve">o show that the </w:t>
      </w:r>
      <w:r w:rsidR="00330BC8">
        <w:rPr>
          <w:rFonts w:ascii="Century Schoolbook" w:hAnsi="Century Schoolbook"/>
          <w:sz w:val="28"/>
          <w:szCs w:val="28"/>
        </w:rPr>
        <w:t>victim suffered serious bodily injury</w:t>
      </w:r>
      <w:r w:rsidR="00133EB7">
        <w:rPr>
          <w:rFonts w:ascii="Century Schoolbook" w:hAnsi="Century Schoolbook"/>
          <w:sz w:val="28"/>
          <w:szCs w:val="28"/>
        </w:rPr>
        <w:t xml:space="preserve"> and reinstated the trial court’s judgment.</w:t>
      </w:r>
    </w:p>
    <w:p w:rsidR="00CF300E" w:rsidRPr="00B85297" w:rsidRDefault="00CF300E" w:rsidP="0087373C">
      <w:pPr>
        <w:pStyle w:val="NormalWeb"/>
        <w:ind w:firstLine="720"/>
        <w:contextualSpacing/>
      </w:pPr>
    </w:p>
    <w:p w:rsidR="00330BC8" w:rsidRDefault="00330BC8" w:rsidP="00591497">
      <w:pPr>
        <w:pStyle w:val="NormalWeb"/>
        <w:contextualSpacing/>
        <w:rPr>
          <w:rFonts w:ascii="Cambria" w:hAnsi="Cambria"/>
          <w:b/>
          <w:bCs/>
          <w:i/>
          <w:iCs/>
          <w:sz w:val="24"/>
          <w:szCs w:val="24"/>
        </w:rPr>
      </w:pPr>
    </w:p>
    <w:p w:rsidR="00330BC8" w:rsidRDefault="00330BC8" w:rsidP="00591497">
      <w:pPr>
        <w:pStyle w:val="NormalWeb"/>
        <w:contextualSpacing/>
        <w:rPr>
          <w:rFonts w:ascii="Cambria" w:hAnsi="Cambria"/>
          <w:b/>
          <w:bCs/>
          <w:i/>
          <w:iCs/>
          <w:sz w:val="24"/>
          <w:szCs w:val="24"/>
        </w:rPr>
      </w:pPr>
    </w:p>
    <w:p w:rsidR="00330BC8" w:rsidRDefault="00330BC8" w:rsidP="00591497">
      <w:pPr>
        <w:pStyle w:val="NormalWeb"/>
        <w:contextualSpacing/>
        <w:rPr>
          <w:rFonts w:ascii="Cambria" w:hAnsi="Cambria"/>
          <w:b/>
          <w:bCs/>
          <w:i/>
          <w:iCs/>
          <w:sz w:val="24"/>
          <w:szCs w:val="24"/>
        </w:rPr>
      </w:pPr>
    </w:p>
    <w:p w:rsidR="00330BC8" w:rsidRDefault="00330BC8" w:rsidP="00591497">
      <w:pPr>
        <w:pStyle w:val="NormalWeb"/>
        <w:contextualSpacing/>
        <w:rPr>
          <w:rFonts w:ascii="Cambria" w:hAnsi="Cambria"/>
          <w:b/>
          <w:bCs/>
          <w:i/>
          <w:iCs/>
          <w:sz w:val="24"/>
          <w:szCs w:val="24"/>
        </w:rPr>
      </w:pPr>
    </w:p>
    <w:p w:rsidR="00330BC8" w:rsidRDefault="00330BC8" w:rsidP="00591497">
      <w:pPr>
        <w:pStyle w:val="NormalWeb"/>
        <w:contextualSpacing/>
        <w:rPr>
          <w:rFonts w:ascii="Cambria" w:hAnsi="Cambria"/>
          <w:b/>
          <w:bCs/>
          <w:i/>
          <w:iCs/>
          <w:sz w:val="24"/>
          <w:szCs w:val="24"/>
        </w:rPr>
      </w:pPr>
    </w:p>
    <w:p w:rsidR="00330BC8" w:rsidRDefault="00330BC8" w:rsidP="00591497">
      <w:pPr>
        <w:pStyle w:val="NormalWeb"/>
        <w:contextualSpacing/>
        <w:rPr>
          <w:rFonts w:ascii="Cambria" w:hAnsi="Cambria"/>
          <w:b/>
          <w:bCs/>
          <w:i/>
          <w:iCs/>
          <w:sz w:val="24"/>
          <w:szCs w:val="24"/>
        </w:rPr>
      </w:pPr>
    </w:p>
    <w:p w:rsidR="00591497" w:rsidRPr="00330BC8" w:rsidRDefault="00591497" w:rsidP="00591497">
      <w:pPr>
        <w:pStyle w:val="NormalWeb"/>
        <w:contextualSpacing/>
        <w:rPr>
          <w:rFonts w:ascii="Century Schoolbook" w:hAnsi="Century Schoolbook"/>
          <w:b/>
          <w:bCs/>
          <w:i/>
          <w:iCs/>
          <w:sz w:val="28"/>
          <w:szCs w:val="28"/>
        </w:rPr>
      </w:pPr>
      <w:r w:rsidRPr="00330BC8">
        <w:rPr>
          <w:rFonts w:ascii="Century Schoolbook" w:hAnsi="Century Schoolbook"/>
          <w:b/>
          <w:bCs/>
          <w:i/>
          <w:iCs/>
          <w:sz w:val="28"/>
          <w:szCs w:val="28"/>
        </w:rPr>
        <w:t>Ex Parte Molina</w:t>
      </w:r>
    </w:p>
    <w:p w:rsidR="00591497" w:rsidRPr="00330BC8" w:rsidRDefault="00591497" w:rsidP="00591497">
      <w:pPr>
        <w:pStyle w:val="NormalWeb"/>
        <w:contextualSpacing/>
        <w:rPr>
          <w:rFonts w:ascii="Century Schoolbook" w:hAnsi="Century Schoolbook"/>
          <w:sz w:val="28"/>
          <w:szCs w:val="28"/>
        </w:rPr>
      </w:pPr>
      <w:r w:rsidRPr="00330BC8">
        <w:rPr>
          <w:rFonts w:ascii="Century Schoolbook" w:hAnsi="Century Schoolbook"/>
          <w:sz w:val="28"/>
          <w:szCs w:val="28"/>
        </w:rPr>
        <w:t xml:space="preserve">No. </w:t>
      </w:r>
      <w:r w:rsidRPr="00330BC8">
        <w:rPr>
          <w:rFonts w:ascii="Century Schoolbook" w:hAnsi="Century Schoolbook"/>
          <w:color w:val="262626"/>
          <w:sz w:val="28"/>
          <w:szCs w:val="28"/>
        </w:rPr>
        <w:t>WR-83</w:t>
      </w:r>
      <w:proofErr w:type="gramStart"/>
      <w:r w:rsidRPr="00330BC8">
        <w:rPr>
          <w:rFonts w:ascii="Century Schoolbook" w:hAnsi="Century Schoolbook"/>
          <w:color w:val="262626"/>
          <w:sz w:val="28"/>
          <w:szCs w:val="28"/>
        </w:rPr>
        <w:t>,799</w:t>
      </w:r>
      <w:proofErr w:type="gramEnd"/>
      <w:r w:rsidRPr="00330BC8">
        <w:rPr>
          <w:rFonts w:ascii="Century Schoolbook" w:hAnsi="Century Schoolbook"/>
          <w:color w:val="262626"/>
          <w:sz w:val="28"/>
          <w:szCs w:val="28"/>
        </w:rPr>
        <w:t>-01</w:t>
      </w:r>
      <w:r w:rsidRPr="00330BC8">
        <w:rPr>
          <w:rFonts w:ascii="Century Schoolbook" w:hAnsi="Century Schoolbook"/>
          <w:sz w:val="28"/>
          <w:szCs w:val="28"/>
        </w:rPr>
        <w:br/>
        <w:t xml:space="preserve">Case Summary written by Eric Matthews, Staff Member. </w:t>
      </w:r>
    </w:p>
    <w:p w:rsidR="00591497" w:rsidRPr="00330BC8" w:rsidRDefault="00591497" w:rsidP="00591497">
      <w:pPr>
        <w:pStyle w:val="NormalWeb"/>
        <w:contextualSpacing/>
        <w:rPr>
          <w:rFonts w:ascii="Century Schoolbook" w:hAnsi="Century Schoolbook"/>
          <w:sz w:val="28"/>
          <w:szCs w:val="28"/>
        </w:rPr>
      </w:pPr>
    </w:p>
    <w:p w:rsidR="00591497" w:rsidRPr="00330BC8" w:rsidRDefault="00591497" w:rsidP="00330BC8">
      <w:pPr>
        <w:pStyle w:val="NormalWeb"/>
        <w:contextualSpacing/>
        <w:jc w:val="both"/>
        <w:rPr>
          <w:rFonts w:ascii="Century Schoolbook" w:hAnsi="Century Schoolbook"/>
          <w:sz w:val="28"/>
          <w:szCs w:val="28"/>
        </w:rPr>
      </w:pPr>
      <w:r w:rsidRPr="00330BC8">
        <w:rPr>
          <w:rFonts w:ascii="Century Schoolbook" w:hAnsi="Century Schoolbook"/>
          <w:smallCaps/>
          <w:sz w:val="28"/>
          <w:szCs w:val="28"/>
        </w:rPr>
        <w:t xml:space="preserve">Judge </w:t>
      </w:r>
      <w:proofErr w:type="spellStart"/>
      <w:r w:rsidRPr="00330BC8">
        <w:rPr>
          <w:rFonts w:ascii="Century Schoolbook" w:hAnsi="Century Schoolbook"/>
          <w:smallCaps/>
          <w:sz w:val="28"/>
          <w:szCs w:val="28"/>
        </w:rPr>
        <w:t>Yeary</w:t>
      </w:r>
      <w:proofErr w:type="spellEnd"/>
      <w:r w:rsidRPr="00330BC8">
        <w:rPr>
          <w:rFonts w:ascii="Century Schoolbook" w:hAnsi="Century Schoolbook"/>
          <w:sz w:val="28"/>
          <w:szCs w:val="28"/>
        </w:rPr>
        <w:t xml:space="preserve"> delivere</w:t>
      </w:r>
      <w:r w:rsidR="00330BC8">
        <w:rPr>
          <w:rFonts w:ascii="Century Schoolbook" w:hAnsi="Century Schoolbook"/>
          <w:sz w:val="28"/>
          <w:szCs w:val="28"/>
        </w:rPr>
        <w:t>d an opinion for the unanimous c</w:t>
      </w:r>
      <w:r w:rsidRPr="00330BC8">
        <w:rPr>
          <w:rFonts w:ascii="Century Schoolbook" w:hAnsi="Century Schoolbook"/>
          <w:sz w:val="28"/>
          <w:szCs w:val="28"/>
        </w:rPr>
        <w:t xml:space="preserve">ourt. </w:t>
      </w:r>
    </w:p>
    <w:p w:rsidR="00591497" w:rsidRPr="00330BC8" w:rsidRDefault="00591497" w:rsidP="00330BC8">
      <w:pPr>
        <w:pStyle w:val="NormalWeb"/>
        <w:ind w:firstLine="720"/>
        <w:contextualSpacing/>
        <w:jc w:val="both"/>
        <w:rPr>
          <w:rFonts w:ascii="Century Schoolbook" w:hAnsi="Century Schoolbook"/>
          <w:sz w:val="28"/>
          <w:szCs w:val="28"/>
        </w:rPr>
      </w:pPr>
      <w:r w:rsidRPr="00330BC8">
        <w:rPr>
          <w:rFonts w:ascii="Century Schoolbook" w:hAnsi="Century Schoolbook"/>
          <w:sz w:val="28"/>
          <w:szCs w:val="28"/>
        </w:rPr>
        <w:t>The trial court convicted Molina of aggravated robbery and sentenced him to 16 years’ confinement. The Fourteenth Court of Appeals affirmed his conviction. Molina then brought an application for writ of habeas corpus, claiming that he was not credited for the time he spent in jail prior to his conviction. Molina claimed he was entitled to a one-year credit because he never bonded out on the charge. He did not claim to have exhausted all administrative remedies to resolve the credit; therefore, the issue for the Court of Criminal Appeals was whether exhaustion of all such remedies is required regarding a claim that the judgment was incorrect.</w:t>
      </w:r>
    </w:p>
    <w:p w:rsidR="00591497" w:rsidRPr="00330BC8" w:rsidRDefault="00591497" w:rsidP="00330BC8">
      <w:pPr>
        <w:pStyle w:val="NormalWeb"/>
        <w:ind w:firstLine="720"/>
        <w:contextualSpacing/>
        <w:jc w:val="both"/>
        <w:rPr>
          <w:rFonts w:ascii="Century Schoolbook" w:hAnsi="Century Schoolbook"/>
          <w:sz w:val="28"/>
          <w:szCs w:val="28"/>
        </w:rPr>
      </w:pPr>
      <w:r w:rsidRPr="00330BC8">
        <w:rPr>
          <w:rFonts w:ascii="Century Schoolbook" w:hAnsi="Century Schoolbook"/>
          <w:sz w:val="28"/>
          <w:szCs w:val="28"/>
        </w:rPr>
        <w:t xml:space="preserve"> Texas Government Code § 501.0081(b)(1) provides that a claim of a time-served credit error is not allowed in an application for a writ of habeas corpus until the inmate “receives a written decision issued by the highest authority provided for </w:t>
      </w:r>
      <w:r w:rsidR="00330BC8">
        <w:rPr>
          <w:rFonts w:ascii="Century Schoolbook" w:hAnsi="Century Schoolbook"/>
          <w:sz w:val="28"/>
          <w:szCs w:val="28"/>
        </w:rPr>
        <w:t>in the resolution system.” The c</w:t>
      </w:r>
      <w:r w:rsidRPr="00330BC8">
        <w:rPr>
          <w:rFonts w:ascii="Century Schoolbook" w:hAnsi="Century Schoolbook"/>
          <w:sz w:val="28"/>
          <w:szCs w:val="28"/>
        </w:rPr>
        <w:t xml:space="preserve">ourt, however, determined that this language </w:t>
      </w:r>
      <w:r w:rsidR="00330BC8">
        <w:rPr>
          <w:rFonts w:ascii="Century Schoolbook" w:hAnsi="Century Schoolbook"/>
          <w:sz w:val="28"/>
          <w:szCs w:val="28"/>
        </w:rPr>
        <w:t>did</w:t>
      </w:r>
      <w:r w:rsidRPr="00330BC8">
        <w:rPr>
          <w:rFonts w:ascii="Century Schoolbook" w:hAnsi="Century Schoolbook"/>
          <w:sz w:val="28"/>
          <w:szCs w:val="28"/>
        </w:rPr>
        <w:t xml:space="preserve"> not apply to Molina’s time-credit claim because his </w:t>
      </w:r>
      <w:r w:rsidR="00330BC8">
        <w:rPr>
          <w:rFonts w:ascii="Century Schoolbook" w:hAnsi="Century Schoolbook"/>
          <w:sz w:val="28"/>
          <w:szCs w:val="28"/>
        </w:rPr>
        <w:t>claim of an incorrect judgment wa</w:t>
      </w:r>
      <w:r w:rsidRPr="00330BC8">
        <w:rPr>
          <w:rFonts w:ascii="Century Schoolbook" w:hAnsi="Century Schoolbook"/>
          <w:sz w:val="28"/>
          <w:szCs w:val="28"/>
        </w:rPr>
        <w:t>s not subject to the authority of the Department of Criminal Justice—the relevant “resolution system.” Only the judicial system has authority to correct a judicial error, and therefore, author</w:t>
      </w:r>
      <w:r w:rsidR="00330BC8">
        <w:rPr>
          <w:rFonts w:ascii="Century Schoolbook" w:hAnsi="Century Schoolbook"/>
          <w:sz w:val="28"/>
          <w:szCs w:val="28"/>
        </w:rPr>
        <w:t>ity to consider his claim. The c</w:t>
      </w:r>
      <w:r w:rsidRPr="00330BC8">
        <w:rPr>
          <w:rFonts w:ascii="Century Schoolbook" w:hAnsi="Century Schoolbook"/>
          <w:sz w:val="28"/>
          <w:szCs w:val="28"/>
        </w:rPr>
        <w:t>ourt stated that to interpret the Code to include every time-served credit error claim would lead to the absurd result that the Department of Criminal Justice must, in certain cases, alter a judgment—something it has no authority to do.</w:t>
      </w:r>
    </w:p>
    <w:p w:rsidR="00591497" w:rsidRPr="00330BC8" w:rsidRDefault="00330BC8" w:rsidP="00330BC8">
      <w:pPr>
        <w:pStyle w:val="NormalWeb"/>
        <w:ind w:firstLine="720"/>
        <w:contextualSpacing/>
        <w:jc w:val="both"/>
        <w:rPr>
          <w:rFonts w:ascii="Century Schoolbook" w:hAnsi="Century Schoolbook"/>
          <w:sz w:val="28"/>
          <w:szCs w:val="28"/>
        </w:rPr>
      </w:pPr>
      <w:r>
        <w:rPr>
          <w:rFonts w:ascii="Century Schoolbook" w:hAnsi="Century Schoolbook"/>
          <w:sz w:val="28"/>
          <w:szCs w:val="28"/>
        </w:rPr>
        <w:t>The c</w:t>
      </w:r>
      <w:r w:rsidR="00591497" w:rsidRPr="00330BC8">
        <w:rPr>
          <w:rFonts w:ascii="Century Schoolbook" w:hAnsi="Century Schoolbook"/>
          <w:sz w:val="28"/>
          <w:szCs w:val="28"/>
        </w:rPr>
        <w:t xml:space="preserve">ourt dismissed Molina’s claim, not based on 501.0081(b)(1), but on the grounds that his application for habeas corpus was an improper remedy. Because he only alleged that his judgment was incorrect, the proper remedy would be to first seek a </w:t>
      </w:r>
      <w:proofErr w:type="spellStart"/>
      <w:r w:rsidR="00591497" w:rsidRPr="00330BC8">
        <w:rPr>
          <w:rFonts w:ascii="Century Schoolbook" w:hAnsi="Century Schoolbook"/>
          <w:i/>
          <w:sz w:val="28"/>
          <w:szCs w:val="28"/>
        </w:rPr>
        <w:t>nunc</w:t>
      </w:r>
      <w:proofErr w:type="spellEnd"/>
      <w:r w:rsidR="00591497" w:rsidRPr="00330BC8">
        <w:rPr>
          <w:rFonts w:ascii="Century Schoolbook" w:hAnsi="Century Schoolbook"/>
          <w:i/>
          <w:sz w:val="28"/>
          <w:szCs w:val="28"/>
        </w:rPr>
        <w:t xml:space="preserve"> pro </w:t>
      </w:r>
      <w:proofErr w:type="spellStart"/>
      <w:r w:rsidR="00591497" w:rsidRPr="00330BC8">
        <w:rPr>
          <w:rFonts w:ascii="Century Schoolbook" w:hAnsi="Century Schoolbook"/>
          <w:i/>
          <w:sz w:val="28"/>
          <w:szCs w:val="28"/>
        </w:rPr>
        <w:t>tunc</w:t>
      </w:r>
      <w:proofErr w:type="spellEnd"/>
      <w:r w:rsidR="00591497" w:rsidRPr="00330BC8">
        <w:rPr>
          <w:rFonts w:ascii="Century Schoolbook" w:hAnsi="Century Schoolbook"/>
          <w:sz w:val="28"/>
          <w:szCs w:val="28"/>
        </w:rPr>
        <w:t xml:space="preserve"> judgment, and if that failed, an application for writ of mandamus. </w:t>
      </w:r>
    </w:p>
    <w:p w:rsidR="00330BC8" w:rsidRDefault="00330BC8" w:rsidP="00591497">
      <w:pPr>
        <w:rPr>
          <w:rFonts w:ascii="Century Schoolbook" w:hAnsi="Century Schoolbook"/>
          <w:b/>
          <w:i/>
          <w:sz w:val="28"/>
          <w:szCs w:val="28"/>
        </w:rPr>
      </w:pPr>
    </w:p>
    <w:p w:rsidR="00330BC8" w:rsidRDefault="00330BC8" w:rsidP="00591497">
      <w:pPr>
        <w:rPr>
          <w:rFonts w:ascii="Century Schoolbook" w:hAnsi="Century Schoolbook"/>
          <w:b/>
          <w:i/>
          <w:sz w:val="28"/>
          <w:szCs w:val="28"/>
        </w:rPr>
      </w:pPr>
    </w:p>
    <w:p w:rsidR="00330BC8" w:rsidRDefault="00330BC8" w:rsidP="00591497">
      <w:pPr>
        <w:rPr>
          <w:rFonts w:ascii="Century Schoolbook" w:hAnsi="Century Schoolbook"/>
          <w:b/>
          <w:i/>
          <w:sz w:val="28"/>
          <w:szCs w:val="28"/>
        </w:rPr>
      </w:pPr>
    </w:p>
    <w:p w:rsidR="00330BC8" w:rsidRDefault="00330BC8" w:rsidP="00591497">
      <w:pPr>
        <w:rPr>
          <w:rFonts w:ascii="Century Schoolbook" w:hAnsi="Century Schoolbook"/>
          <w:b/>
          <w:i/>
          <w:sz w:val="28"/>
          <w:szCs w:val="28"/>
        </w:rPr>
      </w:pPr>
    </w:p>
    <w:p w:rsidR="00591497" w:rsidRPr="00330BC8" w:rsidRDefault="00591497" w:rsidP="00591497">
      <w:pPr>
        <w:rPr>
          <w:rFonts w:ascii="Century Schoolbook" w:hAnsi="Century Schoolbook"/>
          <w:b/>
          <w:i/>
          <w:sz w:val="28"/>
          <w:szCs w:val="28"/>
        </w:rPr>
      </w:pPr>
      <w:r w:rsidRPr="00330BC8">
        <w:rPr>
          <w:rFonts w:ascii="Century Schoolbook" w:hAnsi="Century Schoolbook"/>
          <w:b/>
          <w:i/>
          <w:sz w:val="28"/>
          <w:szCs w:val="28"/>
        </w:rPr>
        <w:t xml:space="preserve">Daniel v. State </w:t>
      </w:r>
    </w:p>
    <w:p w:rsidR="00591497" w:rsidRPr="00330BC8" w:rsidRDefault="00591497" w:rsidP="00591497">
      <w:pPr>
        <w:rPr>
          <w:rFonts w:ascii="Century Schoolbook" w:hAnsi="Century Schoolbook"/>
          <w:sz w:val="28"/>
          <w:szCs w:val="28"/>
        </w:rPr>
      </w:pPr>
      <w:r w:rsidRPr="00330BC8">
        <w:rPr>
          <w:rFonts w:ascii="Century Schoolbook" w:hAnsi="Century Schoolbook"/>
          <w:sz w:val="28"/>
          <w:szCs w:val="28"/>
        </w:rPr>
        <w:t>No. AP-77</w:t>
      </w:r>
      <w:proofErr w:type="gramStart"/>
      <w:r w:rsidRPr="00330BC8">
        <w:rPr>
          <w:rFonts w:ascii="Century Schoolbook" w:hAnsi="Century Schoolbook"/>
          <w:sz w:val="28"/>
          <w:szCs w:val="28"/>
        </w:rPr>
        <w:t>,034</w:t>
      </w:r>
      <w:proofErr w:type="gramEnd"/>
    </w:p>
    <w:p w:rsidR="00591497" w:rsidRPr="00330BC8" w:rsidRDefault="00591497" w:rsidP="00591497">
      <w:pPr>
        <w:rPr>
          <w:rFonts w:ascii="Century Schoolbook" w:hAnsi="Century Schoolbook"/>
          <w:sz w:val="28"/>
          <w:szCs w:val="28"/>
        </w:rPr>
      </w:pPr>
      <w:proofErr w:type="gramStart"/>
      <w:r w:rsidRPr="00330BC8">
        <w:rPr>
          <w:rFonts w:ascii="Century Schoolbook" w:hAnsi="Century Schoolbook"/>
          <w:sz w:val="28"/>
          <w:szCs w:val="28"/>
        </w:rPr>
        <w:t>Case Summary written by Luke Luttrell, Staff Member.</w:t>
      </w:r>
      <w:proofErr w:type="gramEnd"/>
    </w:p>
    <w:p w:rsidR="00591497" w:rsidRPr="00330BC8" w:rsidRDefault="00591497" w:rsidP="00591497">
      <w:pPr>
        <w:rPr>
          <w:rFonts w:ascii="Century Schoolbook" w:hAnsi="Century Schoolbook"/>
          <w:sz w:val="28"/>
          <w:szCs w:val="28"/>
        </w:rPr>
      </w:pPr>
    </w:p>
    <w:p w:rsidR="005E2D9F" w:rsidRDefault="005E2D9F" w:rsidP="00330BC8">
      <w:pPr>
        <w:jc w:val="both"/>
        <w:rPr>
          <w:rFonts w:ascii="Century Schoolbook" w:hAnsi="Century Schoolbook"/>
          <w:sz w:val="28"/>
          <w:szCs w:val="28"/>
        </w:rPr>
      </w:pPr>
      <w:r>
        <w:rPr>
          <w:rFonts w:ascii="Century Schoolbook" w:hAnsi="Century Schoolbook"/>
          <w:sz w:val="28"/>
          <w:szCs w:val="28"/>
        </w:rPr>
        <w:t>JUDGE MEYERS delivered the opinion of the court.</w:t>
      </w:r>
    </w:p>
    <w:p w:rsidR="00591497" w:rsidRPr="00330BC8" w:rsidRDefault="00591497" w:rsidP="005E2D9F">
      <w:pPr>
        <w:ind w:firstLine="720"/>
        <w:jc w:val="both"/>
        <w:rPr>
          <w:rFonts w:ascii="Century Schoolbook" w:hAnsi="Century Schoolbook"/>
          <w:sz w:val="28"/>
          <w:szCs w:val="28"/>
        </w:rPr>
      </w:pPr>
      <w:r w:rsidRPr="00330BC8">
        <w:rPr>
          <w:rFonts w:ascii="Century Schoolbook" w:hAnsi="Century Schoolbook"/>
          <w:sz w:val="28"/>
          <w:szCs w:val="28"/>
        </w:rPr>
        <w:t xml:space="preserve">In February 2014, a jury convicted </w:t>
      </w:r>
      <w:r w:rsidR="005E2D9F">
        <w:rPr>
          <w:rFonts w:ascii="Century Schoolbook" w:hAnsi="Century Schoolbook"/>
          <w:sz w:val="28"/>
          <w:szCs w:val="28"/>
        </w:rPr>
        <w:t xml:space="preserve">the </w:t>
      </w:r>
      <w:r w:rsidRPr="00330BC8">
        <w:rPr>
          <w:rFonts w:ascii="Century Schoolbook" w:hAnsi="Century Schoolbook"/>
          <w:sz w:val="28"/>
          <w:szCs w:val="28"/>
        </w:rPr>
        <w:t xml:space="preserve">appellant of the capital murder of </w:t>
      </w:r>
      <w:r w:rsidR="005E2D9F">
        <w:rPr>
          <w:rFonts w:ascii="Century Schoolbook" w:hAnsi="Century Schoolbook"/>
          <w:sz w:val="28"/>
          <w:szCs w:val="28"/>
        </w:rPr>
        <w:t xml:space="preserve">a police officer—Jaime </w:t>
      </w:r>
      <w:proofErr w:type="spellStart"/>
      <w:r w:rsidR="005E2D9F">
        <w:rPr>
          <w:rFonts w:ascii="Century Schoolbook" w:hAnsi="Century Schoolbook"/>
          <w:sz w:val="28"/>
          <w:szCs w:val="28"/>
        </w:rPr>
        <w:t>Padron</w:t>
      </w:r>
      <w:proofErr w:type="spellEnd"/>
      <w:r w:rsidR="005E2D9F">
        <w:rPr>
          <w:rFonts w:ascii="Century Schoolbook" w:hAnsi="Century Schoolbook"/>
          <w:sz w:val="28"/>
          <w:szCs w:val="28"/>
        </w:rPr>
        <w:t xml:space="preserve">—and </w:t>
      </w:r>
      <w:r w:rsidRPr="00330BC8">
        <w:rPr>
          <w:rFonts w:ascii="Century Schoolbook" w:hAnsi="Century Schoolbook"/>
          <w:sz w:val="28"/>
          <w:szCs w:val="28"/>
        </w:rPr>
        <w:t xml:space="preserve">the trial judge sentenced </w:t>
      </w:r>
      <w:r w:rsidR="005E2D9F">
        <w:rPr>
          <w:rFonts w:ascii="Century Schoolbook" w:hAnsi="Century Schoolbook"/>
          <w:sz w:val="28"/>
          <w:szCs w:val="28"/>
        </w:rPr>
        <w:t xml:space="preserve">the </w:t>
      </w:r>
      <w:r w:rsidRPr="00330BC8">
        <w:rPr>
          <w:rFonts w:ascii="Century Schoolbook" w:hAnsi="Century Schoolbook"/>
          <w:sz w:val="28"/>
          <w:szCs w:val="28"/>
        </w:rPr>
        <w:t xml:space="preserve">appellant to death. Direct appeal to the Court of </w:t>
      </w:r>
      <w:r w:rsidR="005E2D9F">
        <w:rPr>
          <w:rFonts w:ascii="Century Schoolbook" w:hAnsi="Century Schoolbook"/>
          <w:sz w:val="28"/>
          <w:szCs w:val="28"/>
        </w:rPr>
        <w:t xml:space="preserve">Criminal </w:t>
      </w:r>
      <w:r w:rsidRPr="00330BC8">
        <w:rPr>
          <w:rFonts w:ascii="Century Schoolbook" w:hAnsi="Century Schoolbook"/>
          <w:sz w:val="28"/>
          <w:szCs w:val="28"/>
        </w:rPr>
        <w:t>Appeals is auto</w:t>
      </w:r>
      <w:r w:rsidR="005E2D9F">
        <w:rPr>
          <w:rFonts w:ascii="Century Schoolbook" w:hAnsi="Century Schoolbook"/>
          <w:sz w:val="28"/>
          <w:szCs w:val="28"/>
        </w:rPr>
        <w:t>matic. Upon appeal, the appellant raised</w:t>
      </w:r>
      <w:r w:rsidRPr="00330BC8">
        <w:rPr>
          <w:rFonts w:ascii="Century Schoolbook" w:hAnsi="Century Schoolbook"/>
          <w:sz w:val="28"/>
          <w:szCs w:val="28"/>
        </w:rPr>
        <w:t xml:space="preserve"> three points of error. </w:t>
      </w:r>
    </w:p>
    <w:p w:rsidR="00591497" w:rsidRPr="00330BC8" w:rsidRDefault="00591497" w:rsidP="00330BC8">
      <w:pPr>
        <w:jc w:val="both"/>
        <w:rPr>
          <w:rFonts w:ascii="Century Schoolbook" w:hAnsi="Century Schoolbook"/>
          <w:sz w:val="28"/>
          <w:szCs w:val="28"/>
        </w:rPr>
      </w:pPr>
      <w:r w:rsidRPr="00330BC8">
        <w:rPr>
          <w:rFonts w:ascii="Century Schoolbook" w:hAnsi="Century Schoolbook"/>
          <w:sz w:val="28"/>
          <w:szCs w:val="28"/>
        </w:rPr>
        <w:tab/>
        <w:t xml:space="preserve">In his first point of error, </w:t>
      </w:r>
      <w:r w:rsidR="005E2D9F">
        <w:rPr>
          <w:rFonts w:ascii="Century Schoolbook" w:hAnsi="Century Schoolbook"/>
          <w:sz w:val="28"/>
          <w:szCs w:val="28"/>
        </w:rPr>
        <w:t>the appellant asserted that the evidence wa</w:t>
      </w:r>
      <w:r w:rsidRPr="00330BC8">
        <w:rPr>
          <w:rFonts w:ascii="Century Schoolbook" w:hAnsi="Century Schoolbook"/>
          <w:sz w:val="28"/>
          <w:szCs w:val="28"/>
        </w:rPr>
        <w:t>s insufficient to support the jury’s answer to the futur</w:t>
      </w:r>
      <w:r w:rsidR="005E2D9F">
        <w:rPr>
          <w:rFonts w:ascii="Century Schoolbook" w:hAnsi="Century Schoolbook"/>
          <w:sz w:val="28"/>
          <w:szCs w:val="28"/>
        </w:rPr>
        <w:t>e dangerousness special issue. The appellant believed</w:t>
      </w:r>
      <w:r w:rsidRPr="00330BC8">
        <w:rPr>
          <w:rFonts w:ascii="Century Schoolbook" w:hAnsi="Century Schoolbook"/>
          <w:sz w:val="28"/>
          <w:szCs w:val="28"/>
        </w:rPr>
        <w:t xml:space="preserve"> that applying the </w:t>
      </w:r>
      <w:r w:rsidRPr="00330BC8">
        <w:rPr>
          <w:rFonts w:ascii="Century Schoolbook" w:hAnsi="Century Schoolbook"/>
          <w:i/>
          <w:sz w:val="28"/>
          <w:szCs w:val="28"/>
        </w:rPr>
        <w:t>Keeton</w:t>
      </w:r>
      <w:r w:rsidRPr="00330BC8">
        <w:rPr>
          <w:rFonts w:ascii="Century Schoolbook" w:hAnsi="Century Schoolbook"/>
          <w:sz w:val="28"/>
          <w:szCs w:val="28"/>
        </w:rPr>
        <w:t xml:space="preserve"> criteria of f</w:t>
      </w:r>
      <w:r w:rsidR="005E2D9F">
        <w:rPr>
          <w:rFonts w:ascii="Century Schoolbook" w:hAnsi="Century Schoolbook"/>
          <w:sz w:val="28"/>
          <w:szCs w:val="28"/>
        </w:rPr>
        <w:t>uture dangerousness review showed that he was not a future danger. He argued</w:t>
      </w:r>
      <w:r w:rsidRPr="00330BC8">
        <w:rPr>
          <w:rFonts w:ascii="Century Schoolbook" w:hAnsi="Century Schoolbook"/>
          <w:sz w:val="28"/>
          <w:szCs w:val="28"/>
        </w:rPr>
        <w:t xml:space="preserve"> that he acted without forethought and deliberateness because he was highly intoxicated on Xanax bars at the time and suffering from depression. The court disagreed. The court found that the evidence showed that he went to Wal-Mart to shop lift and brought a loaded gun because he “was </w:t>
      </w:r>
      <w:proofErr w:type="gramStart"/>
      <w:r w:rsidRPr="00330BC8">
        <w:rPr>
          <w:rFonts w:ascii="Century Schoolbook" w:hAnsi="Century Schoolbook"/>
          <w:sz w:val="28"/>
          <w:szCs w:val="28"/>
        </w:rPr>
        <w:t>foreseeing cops</w:t>
      </w:r>
      <w:proofErr w:type="gramEnd"/>
      <w:r w:rsidRPr="00330BC8">
        <w:rPr>
          <w:rFonts w:ascii="Century Schoolbook" w:hAnsi="Century Schoolbook"/>
          <w:sz w:val="28"/>
          <w:szCs w:val="28"/>
        </w:rPr>
        <w:t xml:space="preserve"> preventing [him] form leaving the store.” </w:t>
      </w:r>
      <w:r w:rsidR="005E2D9F">
        <w:rPr>
          <w:rFonts w:ascii="Century Schoolbook" w:hAnsi="Century Schoolbook"/>
          <w:sz w:val="28"/>
          <w:szCs w:val="28"/>
        </w:rPr>
        <w:t>It also found that he</w:t>
      </w:r>
      <w:r w:rsidRPr="00330BC8">
        <w:rPr>
          <w:rFonts w:ascii="Century Schoolbook" w:hAnsi="Century Schoolbook"/>
          <w:sz w:val="28"/>
          <w:szCs w:val="28"/>
        </w:rPr>
        <w:t xml:space="preserve"> had an escalating pattern of disrespect for the law. T</w:t>
      </w:r>
      <w:r w:rsidR="005E2D9F">
        <w:rPr>
          <w:rFonts w:ascii="Century Schoolbook" w:hAnsi="Century Schoolbook"/>
          <w:sz w:val="28"/>
          <w:szCs w:val="28"/>
        </w:rPr>
        <w:t>herefore, point of error one wa</w:t>
      </w:r>
      <w:r w:rsidRPr="00330BC8">
        <w:rPr>
          <w:rFonts w:ascii="Century Schoolbook" w:hAnsi="Century Schoolbook"/>
          <w:sz w:val="28"/>
          <w:szCs w:val="28"/>
        </w:rPr>
        <w:t>s overruled.</w:t>
      </w:r>
    </w:p>
    <w:p w:rsidR="00591497" w:rsidRPr="00330BC8" w:rsidRDefault="00591497" w:rsidP="00330BC8">
      <w:pPr>
        <w:jc w:val="both"/>
        <w:rPr>
          <w:rFonts w:ascii="Century Schoolbook" w:hAnsi="Century Schoolbook"/>
          <w:sz w:val="28"/>
          <w:szCs w:val="28"/>
        </w:rPr>
      </w:pPr>
      <w:r w:rsidRPr="00330BC8">
        <w:rPr>
          <w:rFonts w:ascii="Century Schoolbook" w:hAnsi="Century Schoolbook"/>
          <w:sz w:val="28"/>
          <w:szCs w:val="28"/>
        </w:rPr>
        <w:tab/>
        <w:t xml:space="preserve">In </w:t>
      </w:r>
      <w:r w:rsidR="005E2D9F">
        <w:rPr>
          <w:rFonts w:ascii="Century Schoolbook" w:hAnsi="Century Schoolbook"/>
          <w:sz w:val="28"/>
          <w:szCs w:val="28"/>
        </w:rPr>
        <w:t xml:space="preserve">the </w:t>
      </w:r>
      <w:r w:rsidRPr="00330BC8">
        <w:rPr>
          <w:rFonts w:ascii="Century Schoolbook" w:hAnsi="Century Schoolbook"/>
          <w:sz w:val="28"/>
          <w:szCs w:val="28"/>
        </w:rPr>
        <w:t>appellants</w:t>
      </w:r>
      <w:r w:rsidR="005E2D9F">
        <w:rPr>
          <w:rFonts w:ascii="Century Schoolbook" w:hAnsi="Century Schoolbook"/>
          <w:sz w:val="28"/>
          <w:szCs w:val="28"/>
        </w:rPr>
        <w:t xml:space="preserve">’ second point of error, </w:t>
      </w:r>
      <w:r w:rsidRPr="00330BC8">
        <w:rPr>
          <w:rFonts w:ascii="Century Schoolbook" w:hAnsi="Century Schoolbook"/>
          <w:sz w:val="28"/>
          <w:szCs w:val="28"/>
        </w:rPr>
        <w:t>he complained about the trial court’s refusal to grant his challenge for cause against pro</w:t>
      </w:r>
      <w:r w:rsidR="005E2D9F">
        <w:rPr>
          <w:rFonts w:ascii="Century Schoolbook" w:hAnsi="Century Schoolbook"/>
          <w:sz w:val="28"/>
          <w:szCs w:val="28"/>
        </w:rPr>
        <w:t>spective juror Marcus Reading. The appellant argued that Reading wa</w:t>
      </w:r>
      <w:r w:rsidRPr="00330BC8">
        <w:rPr>
          <w:rFonts w:ascii="Century Schoolbook" w:hAnsi="Century Schoolbook"/>
          <w:sz w:val="28"/>
          <w:szCs w:val="28"/>
        </w:rPr>
        <w:t xml:space="preserve">s challengeable for cause because he had a bias or leaning towards death in a case involving the death of a police officer. The court found that the record showed that </w:t>
      </w:r>
      <w:r w:rsidR="005E2D9F">
        <w:rPr>
          <w:rFonts w:ascii="Century Schoolbook" w:hAnsi="Century Schoolbook"/>
          <w:sz w:val="28"/>
          <w:szCs w:val="28"/>
        </w:rPr>
        <w:t xml:space="preserve">the </w:t>
      </w:r>
      <w:r w:rsidRPr="00330BC8">
        <w:rPr>
          <w:rFonts w:ascii="Century Schoolbook" w:hAnsi="Century Schoolbook"/>
          <w:sz w:val="28"/>
          <w:szCs w:val="28"/>
        </w:rPr>
        <w:t>appellant did not request additional strikes or identify an objectionable juror who sat on the jury. Consequently, he did not demonstra</w:t>
      </w:r>
      <w:r w:rsidR="005E2D9F">
        <w:rPr>
          <w:rFonts w:ascii="Century Schoolbook" w:hAnsi="Century Schoolbook"/>
          <w:sz w:val="28"/>
          <w:szCs w:val="28"/>
        </w:rPr>
        <w:t>te harm and point of error two wa</w:t>
      </w:r>
      <w:r w:rsidRPr="00330BC8">
        <w:rPr>
          <w:rFonts w:ascii="Century Schoolbook" w:hAnsi="Century Schoolbook"/>
          <w:sz w:val="28"/>
          <w:szCs w:val="28"/>
        </w:rPr>
        <w:t>s overruled.</w:t>
      </w:r>
    </w:p>
    <w:p w:rsidR="00ED368E" w:rsidRPr="00330BC8" w:rsidRDefault="00591497" w:rsidP="00330BC8">
      <w:pPr>
        <w:jc w:val="both"/>
        <w:rPr>
          <w:rFonts w:ascii="Century Schoolbook" w:hAnsi="Century Schoolbook"/>
          <w:sz w:val="28"/>
          <w:szCs w:val="28"/>
        </w:rPr>
      </w:pPr>
      <w:r w:rsidRPr="00330BC8">
        <w:rPr>
          <w:rFonts w:ascii="Century Schoolbook" w:hAnsi="Century Schoolbook"/>
          <w:sz w:val="28"/>
          <w:szCs w:val="28"/>
        </w:rPr>
        <w:tab/>
        <w:t>In appellant</w:t>
      </w:r>
      <w:r w:rsidR="005E2D9F">
        <w:rPr>
          <w:rFonts w:ascii="Century Schoolbook" w:hAnsi="Century Schoolbook"/>
          <w:sz w:val="28"/>
          <w:szCs w:val="28"/>
        </w:rPr>
        <w:t>’</w:t>
      </w:r>
      <w:r w:rsidRPr="00330BC8">
        <w:rPr>
          <w:rFonts w:ascii="Century Schoolbook" w:hAnsi="Century Schoolbook"/>
          <w:sz w:val="28"/>
          <w:szCs w:val="28"/>
        </w:rPr>
        <w:t xml:space="preserve">s </w:t>
      </w:r>
      <w:r w:rsidR="005E2D9F">
        <w:rPr>
          <w:rFonts w:ascii="Century Schoolbook" w:hAnsi="Century Schoolbook"/>
          <w:sz w:val="28"/>
          <w:szCs w:val="28"/>
        </w:rPr>
        <w:t xml:space="preserve">third </w:t>
      </w:r>
      <w:r w:rsidRPr="00330BC8">
        <w:rPr>
          <w:rFonts w:ascii="Century Schoolbook" w:hAnsi="Century Schoolbook"/>
          <w:sz w:val="28"/>
          <w:szCs w:val="28"/>
        </w:rPr>
        <w:t xml:space="preserve">point of error, he contended that the trial court erroneously denied his right “to fully </w:t>
      </w:r>
      <w:proofErr w:type="spellStart"/>
      <w:r w:rsidRPr="00330BC8">
        <w:rPr>
          <w:rFonts w:ascii="Century Schoolbook" w:hAnsi="Century Schoolbook"/>
          <w:sz w:val="28"/>
          <w:szCs w:val="28"/>
        </w:rPr>
        <w:t>voir</w:t>
      </w:r>
      <w:proofErr w:type="spellEnd"/>
      <w:r w:rsidRPr="00330BC8">
        <w:rPr>
          <w:rFonts w:ascii="Century Schoolbook" w:hAnsi="Century Schoolbook"/>
          <w:sz w:val="28"/>
          <w:szCs w:val="28"/>
        </w:rPr>
        <w:t xml:space="preserve"> </w:t>
      </w:r>
      <w:r w:rsidR="005E2D9F">
        <w:rPr>
          <w:rFonts w:ascii="Century Schoolbook" w:hAnsi="Century Schoolbook"/>
          <w:sz w:val="28"/>
          <w:szCs w:val="28"/>
        </w:rPr>
        <w:t>dire the State’s expert witness</w:t>
      </w:r>
      <w:r w:rsidRPr="00330BC8">
        <w:rPr>
          <w:rFonts w:ascii="Century Schoolbook" w:hAnsi="Century Schoolbook"/>
          <w:sz w:val="28"/>
          <w:szCs w:val="28"/>
        </w:rPr>
        <w:t xml:space="preserve">, Dr. Mauro, as to her basis and opinion and that violated Texas Rule of Evidence 705(b). The court found that the record showed that the trial court permitted </w:t>
      </w:r>
      <w:r w:rsidR="005E2D9F">
        <w:rPr>
          <w:rFonts w:ascii="Century Schoolbook" w:hAnsi="Century Schoolbook"/>
          <w:sz w:val="28"/>
          <w:szCs w:val="28"/>
        </w:rPr>
        <w:t xml:space="preserve">the </w:t>
      </w:r>
      <w:r w:rsidRPr="00330BC8">
        <w:rPr>
          <w:rFonts w:ascii="Century Schoolbook" w:hAnsi="Century Schoolbook"/>
          <w:sz w:val="28"/>
          <w:szCs w:val="28"/>
        </w:rPr>
        <w:t xml:space="preserve">appellant to examine Mauro about the underlying facts or data in accordance with Rule 705(b). To the extent that </w:t>
      </w:r>
      <w:r w:rsidR="005E2D9F">
        <w:rPr>
          <w:rFonts w:ascii="Century Schoolbook" w:hAnsi="Century Schoolbook"/>
          <w:sz w:val="28"/>
          <w:szCs w:val="28"/>
        </w:rPr>
        <w:t xml:space="preserve">the </w:t>
      </w:r>
      <w:r w:rsidRPr="00330BC8">
        <w:rPr>
          <w:rFonts w:ascii="Century Schoolbook" w:hAnsi="Century Schoolbook"/>
          <w:sz w:val="28"/>
          <w:szCs w:val="28"/>
        </w:rPr>
        <w:t>appellan</w:t>
      </w:r>
      <w:r w:rsidR="005E2D9F">
        <w:rPr>
          <w:rFonts w:ascii="Century Schoolbook" w:hAnsi="Century Schoolbook"/>
          <w:sz w:val="28"/>
          <w:szCs w:val="28"/>
        </w:rPr>
        <w:t>t wa</w:t>
      </w:r>
      <w:r w:rsidRPr="00330BC8">
        <w:rPr>
          <w:rFonts w:ascii="Century Schoolbook" w:hAnsi="Century Schoolbook"/>
          <w:sz w:val="28"/>
          <w:szCs w:val="28"/>
        </w:rPr>
        <w:t xml:space="preserve">s complaining that the trial court improperly limited his </w:t>
      </w:r>
      <w:proofErr w:type="spellStart"/>
      <w:r w:rsidRPr="00330BC8">
        <w:rPr>
          <w:rFonts w:ascii="Century Schoolbook" w:hAnsi="Century Schoolbook"/>
          <w:sz w:val="28"/>
          <w:szCs w:val="28"/>
        </w:rPr>
        <w:t>voir</w:t>
      </w:r>
      <w:proofErr w:type="spellEnd"/>
      <w:r w:rsidR="005E2D9F">
        <w:rPr>
          <w:rFonts w:ascii="Century Schoolbook" w:hAnsi="Century Schoolbook"/>
          <w:sz w:val="28"/>
          <w:szCs w:val="28"/>
        </w:rPr>
        <w:t xml:space="preserve"> dire examination of Mauro, he</w:t>
      </w:r>
      <w:r w:rsidRPr="00330BC8">
        <w:rPr>
          <w:rFonts w:ascii="Century Schoolbook" w:hAnsi="Century Schoolbook"/>
          <w:sz w:val="28"/>
          <w:szCs w:val="28"/>
        </w:rPr>
        <w:t xml:space="preserve"> failed to preserve the complaint for review. Therefore, point of erro</w:t>
      </w:r>
      <w:r w:rsidR="00EF1FE5">
        <w:rPr>
          <w:rFonts w:ascii="Century Schoolbook" w:hAnsi="Century Schoolbook"/>
          <w:sz w:val="28"/>
          <w:szCs w:val="28"/>
        </w:rPr>
        <w:t>r number three wa</w:t>
      </w:r>
      <w:r w:rsidRPr="00330BC8">
        <w:rPr>
          <w:rFonts w:ascii="Century Schoolbook" w:hAnsi="Century Schoolbook"/>
          <w:sz w:val="28"/>
          <w:szCs w:val="28"/>
        </w:rPr>
        <w:t>s overruled and t</w:t>
      </w:r>
      <w:r w:rsidR="00EF1FE5">
        <w:rPr>
          <w:rFonts w:ascii="Century Schoolbook" w:hAnsi="Century Schoolbook"/>
          <w:sz w:val="28"/>
          <w:szCs w:val="28"/>
        </w:rPr>
        <w:t>he judgment of the trial court wa</w:t>
      </w:r>
      <w:r w:rsidRPr="00330BC8">
        <w:rPr>
          <w:rFonts w:ascii="Century Schoolbook" w:hAnsi="Century Schoolbook"/>
          <w:sz w:val="28"/>
          <w:szCs w:val="28"/>
        </w:rPr>
        <w:t>s affirmed.</w:t>
      </w:r>
      <w:bookmarkStart w:id="0" w:name="_GoBack"/>
      <w:bookmarkEnd w:id="0"/>
    </w:p>
    <w:sectPr w:rsidR="00ED368E" w:rsidRPr="00330BC8" w:rsidSect="00A00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entury Schoolbook">
    <w:panose1 w:val="0204060405050502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297"/>
    <w:rsid w:val="000A41CC"/>
    <w:rsid w:val="00133EB7"/>
    <w:rsid w:val="00206B46"/>
    <w:rsid w:val="00280F6A"/>
    <w:rsid w:val="002D3E97"/>
    <w:rsid w:val="00330BC8"/>
    <w:rsid w:val="003D594A"/>
    <w:rsid w:val="004778D6"/>
    <w:rsid w:val="0049585C"/>
    <w:rsid w:val="004F6C72"/>
    <w:rsid w:val="00591497"/>
    <w:rsid w:val="005E2D9F"/>
    <w:rsid w:val="0087373C"/>
    <w:rsid w:val="00A003F5"/>
    <w:rsid w:val="00B85297"/>
    <w:rsid w:val="00CF300E"/>
    <w:rsid w:val="00ED368E"/>
    <w:rsid w:val="00EF1F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5297"/>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5297"/>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935186">
      <w:bodyDiv w:val="1"/>
      <w:marLeft w:val="0"/>
      <w:marRight w:val="0"/>
      <w:marTop w:val="0"/>
      <w:marBottom w:val="0"/>
      <w:divBdr>
        <w:top w:val="none" w:sz="0" w:space="0" w:color="auto"/>
        <w:left w:val="none" w:sz="0" w:space="0" w:color="auto"/>
        <w:bottom w:val="none" w:sz="0" w:space="0" w:color="auto"/>
        <w:right w:val="none" w:sz="0" w:space="0" w:color="auto"/>
      </w:divBdr>
      <w:divsChild>
        <w:div w:id="1233196409">
          <w:marLeft w:val="0"/>
          <w:marRight w:val="0"/>
          <w:marTop w:val="0"/>
          <w:marBottom w:val="0"/>
          <w:divBdr>
            <w:top w:val="none" w:sz="0" w:space="0" w:color="auto"/>
            <w:left w:val="none" w:sz="0" w:space="0" w:color="auto"/>
            <w:bottom w:val="none" w:sz="0" w:space="0" w:color="auto"/>
            <w:right w:val="none" w:sz="0" w:space="0" w:color="auto"/>
          </w:divBdr>
          <w:divsChild>
            <w:div w:id="868837619">
              <w:marLeft w:val="0"/>
              <w:marRight w:val="0"/>
              <w:marTop w:val="0"/>
              <w:marBottom w:val="0"/>
              <w:divBdr>
                <w:top w:val="none" w:sz="0" w:space="0" w:color="auto"/>
                <w:left w:val="none" w:sz="0" w:space="0" w:color="auto"/>
                <w:bottom w:val="none" w:sz="0" w:space="0" w:color="auto"/>
                <w:right w:val="none" w:sz="0" w:space="0" w:color="auto"/>
              </w:divBdr>
              <w:divsChild>
                <w:div w:id="77282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1272</Words>
  <Characters>7255</Characters>
  <Application>Microsoft Macintosh Word</Application>
  <DocSecurity>4</DocSecurity>
  <Lines>60</Lines>
  <Paragraphs>17</Paragraphs>
  <ScaleCrop>false</ScaleCrop>
  <Company/>
  <LinksUpToDate>false</LinksUpToDate>
  <CharactersWithSpaces>8510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Clinton</dc:creator>
  <cp:keywords/>
  <dc:description/>
  <cp:lastModifiedBy>Allison Grayson</cp:lastModifiedBy>
  <cp:revision>2</cp:revision>
  <dcterms:created xsi:type="dcterms:W3CDTF">2016-04-12T02:41:00Z</dcterms:created>
  <dcterms:modified xsi:type="dcterms:W3CDTF">2016-04-12T02:41:00Z</dcterms:modified>
</cp:coreProperties>
</file>