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37C760" w14:textId="70CB6C08" w:rsidR="00055C39" w:rsidRPr="00055C39" w:rsidRDefault="00055C39" w:rsidP="00055C39">
      <w:pPr>
        <w:jc w:val="center"/>
        <w:rPr>
          <w:rFonts w:ascii="Century Schoolbook" w:hAnsi="Century Schoolbook"/>
          <w:b/>
          <w:sz w:val="32"/>
          <w:szCs w:val="32"/>
        </w:rPr>
      </w:pPr>
      <w:r w:rsidRPr="00055C39">
        <w:rPr>
          <w:rFonts w:ascii="Century Schoolbook" w:hAnsi="Century Schoolbook"/>
          <w:b/>
          <w:sz w:val="32"/>
          <w:szCs w:val="32"/>
        </w:rPr>
        <w:t>Court of Criminal Appeals</w:t>
      </w:r>
    </w:p>
    <w:p w14:paraId="48FB6E83" w14:textId="46FC63F2" w:rsidR="00055C39" w:rsidRPr="00055C39" w:rsidRDefault="00055C39" w:rsidP="00055C39">
      <w:pPr>
        <w:jc w:val="center"/>
        <w:rPr>
          <w:rFonts w:ascii="Century Schoolbook" w:hAnsi="Century Schoolbook"/>
          <w:b/>
          <w:sz w:val="32"/>
          <w:szCs w:val="32"/>
        </w:rPr>
      </w:pPr>
      <w:r w:rsidRPr="00055C39">
        <w:rPr>
          <w:rFonts w:ascii="Century Schoolbook" w:hAnsi="Century Schoolbook"/>
          <w:b/>
          <w:sz w:val="32"/>
          <w:szCs w:val="32"/>
        </w:rPr>
        <w:t>April 24, 2015</w:t>
      </w:r>
    </w:p>
    <w:p w14:paraId="6FE89726" w14:textId="77777777" w:rsidR="00055C39" w:rsidRPr="00055C39" w:rsidRDefault="00055C39" w:rsidP="00DC2E78">
      <w:pPr>
        <w:rPr>
          <w:rFonts w:ascii="Century Schoolbook" w:hAnsi="Century Schoolbook"/>
          <w:b/>
          <w:sz w:val="32"/>
          <w:szCs w:val="32"/>
        </w:rPr>
      </w:pPr>
    </w:p>
    <w:p w14:paraId="3D7AB97E" w14:textId="77777777" w:rsidR="00DC2E78" w:rsidRPr="00055C39" w:rsidRDefault="001A756E" w:rsidP="00DC2E78">
      <w:pPr>
        <w:rPr>
          <w:rFonts w:ascii="Century Schoolbook" w:hAnsi="Century Schoolbook"/>
          <w:b/>
          <w:i/>
          <w:sz w:val="28"/>
          <w:szCs w:val="28"/>
        </w:rPr>
      </w:pPr>
      <w:r w:rsidRPr="00055C39">
        <w:rPr>
          <w:rFonts w:ascii="Century Schoolbook" w:hAnsi="Century Schoolbook"/>
          <w:b/>
          <w:i/>
          <w:sz w:val="28"/>
          <w:szCs w:val="28"/>
        </w:rPr>
        <w:t>Ex Parte Robert Lynn Pruett</w:t>
      </w:r>
      <w:r w:rsidR="00DC2E78" w:rsidRPr="00055C39">
        <w:rPr>
          <w:rFonts w:ascii="Century Schoolbook" w:hAnsi="Century Schoolbook"/>
          <w:b/>
          <w:i/>
          <w:sz w:val="28"/>
          <w:szCs w:val="28"/>
        </w:rPr>
        <w:t xml:space="preserve"> </w:t>
      </w:r>
    </w:p>
    <w:p w14:paraId="282AF868" w14:textId="20FD8446" w:rsidR="00DC2E78" w:rsidRPr="00055C39" w:rsidRDefault="00DC2E78" w:rsidP="00DC2E78">
      <w:pPr>
        <w:pStyle w:val="NormalWeb"/>
        <w:spacing w:before="0" w:beforeAutospacing="0" w:after="0" w:afterAutospacing="0"/>
        <w:rPr>
          <w:rFonts w:ascii="Century Schoolbook" w:hAnsi="Century Schoolbook"/>
          <w:sz w:val="28"/>
          <w:szCs w:val="28"/>
        </w:rPr>
      </w:pPr>
      <w:r w:rsidRPr="00055C39">
        <w:rPr>
          <w:rFonts w:ascii="Century Schoolbook" w:hAnsi="Century Schoolbook"/>
          <w:sz w:val="28"/>
          <w:szCs w:val="28"/>
        </w:rPr>
        <w:t>NO. WR-62</w:t>
      </w:r>
      <w:r w:rsidR="001A756E" w:rsidRPr="00055C39">
        <w:rPr>
          <w:rFonts w:ascii="Century Schoolbook" w:hAnsi="Century Schoolbook"/>
          <w:sz w:val="28"/>
          <w:szCs w:val="28"/>
        </w:rPr>
        <w:t>, 099</w:t>
      </w:r>
      <w:r w:rsidR="002D788D" w:rsidRPr="00055C39">
        <w:rPr>
          <w:rFonts w:ascii="Century Schoolbook" w:hAnsi="Century Schoolbook"/>
          <w:sz w:val="28"/>
          <w:szCs w:val="28"/>
        </w:rPr>
        <w:t>-05</w:t>
      </w:r>
      <w:r w:rsidRPr="00055C39">
        <w:rPr>
          <w:rFonts w:ascii="Century Schoolbook" w:hAnsi="Century Schoolbook"/>
          <w:sz w:val="28"/>
          <w:szCs w:val="28"/>
        </w:rPr>
        <w:t xml:space="preserve"> </w:t>
      </w:r>
    </w:p>
    <w:p w14:paraId="13887B43" w14:textId="5B930A43" w:rsidR="00DC2E78" w:rsidRPr="00055C39" w:rsidRDefault="00DC2E78" w:rsidP="00DC2E78">
      <w:pPr>
        <w:pStyle w:val="NormalWeb"/>
        <w:spacing w:before="0" w:beforeAutospacing="0" w:after="0" w:afterAutospacing="0"/>
        <w:rPr>
          <w:rFonts w:ascii="Century Schoolbook" w:hAnsi="Century Schoolbook"/>
          <w:sz w:val="28"/>
          <w:szCs w:val="28"/>
        </w:rPr>
      </w:pPr>
      <w:proofErr w:type="gramStart"/>
      <w:r w:rsidRPr="00055C39">
        <w:rPr>
          <w:rFonts w:ascii="Century Schoolbook" w:hAnsi="Century Schoolbook"/>
          <w:sz w:val="28"/>
          <w:szCs w:val="28"/>
        </w:rPr>
        <w:t>Case Summary written by Zirwa Baseer Sheikh</w:t>
      </w:r>
      <w:r w:rsidR="00055C39">
        <w:rPr>
          <w:rFonts w:ascii="Century Schoolbook" w:hAnsi="Century Schoolbook"/>
          <w:sz w:val="28"/>
          <w:szCs w:val="28"/>
        </w:rPr>
        <w:t>, Staff Member.</w:t>
      </w:r>
      <w:proofErr w:type="gramEnd"/>
    </w:p>
    <w:p w14:paraId="75ED65C5" w14:textId="77777777" w:rsidR="00DC2E78" w:rsidRPr="00055C39" w:rsidRDefault="00DC2E78" w:rsidP="00DC2E78">
      <w:pPr>
        <w:pStyle w:val="NormalWeb"/>
        <w:spacing w:before="0" w:beforeAutospacing="0" w:after="0" w:afterAutospacing="0"/>
        <w:rPr>
          <w:rFonts w:ascii="Century Schoolbook" w:hAnsi="Century Schoolbook"/>
          <w:sz w:val="28"/>
          <w:szCs w:val="28"/>
        </w:rPr>
      </w:pPr>
    </w:p>
    <w:p w14:paraId="7DA9683F" w14:textId="32FD93E4" w:rsidR="00F5404A" w:rsidRPr="00055C39" w:rsidRDefault="00055C39">
      <w:pPr>
        <w:rPr>
          <w:rFonts w:ascii="Century Schoolbook" w:hAnsi="Century Schoolbook"/>
          <w:sz w:val="28"/>
          <w:szCs w:val="28"/>
        </w:rPr>
      </w:pPr>
      <w:proofErr w:type="gramStart"/>
      <w:r>
        <w:rPr>
          <w:rFonts w:ascii="Century Schoolbook" w:hAnsi="Century Schoolbook"/>
          <w:sz w:val="28"/>
          <w:szCs w:val="28"/>
        </w:rPr>
        <w:t>PER CURIUM.</w:t>
      </w:r>
      <w:proofErr w:type="gramEnd"/>
    </w:p>
    <w:p w14:paraId="6711309F" w14:textId="1ACA8CE2" w:rsidR="00F5404A" w:rsidRPr="00055C39" w:rsidRDefault="00FA747A" w:rsidP="00055C39">
      <w:pPr>
        <w:ind w:firstLine="720"/>
        <w:jc w:val="both"/>
        <w:rPr>
          <w:rFonts w:ascii="Century Schoolbook" w:hAnsi="Century Schoolbook"/>
          <w:sz w:val="28"/>
          <w:szCs w:val="28"/>
        </w:rPr>
      </w:pPr>
      <w:r w:rsidRPr="00055C39">
        <w:rPr>
          <w:rFonts w:ascii="Century Schoolbook" w:hAnsi="Century Schoolbook"/>
          <w:sz w:val="28"/>
          <w:szCs w:val="28"/>
        </w:rPr>
        <w:t xml:space="preserve">Robert Lynn Pruett was found guilty of capital murder and </w:t>
      </w:r>
      <w:bookmarkStart w:id="0" w:name="_GoBack"/>
      <w:bookmarkEnd w:id="0"/>
      <w:r w:rsidRPr="00055C39">
        <w:rPr>
          <w:rFonts w:ascii="Century Schoolbook" w:hAnsi="Century Schoolbook"/>
          <w:sz w:val="28"/>
          <w:szCs w:val="28"/>
        </w:rPr>
        <w:t xml:space="preserve">sentenced to death by a jury in April 2002. The Court of Criminal Appeals not only affirmed </w:t>
      </w:r>
      <w:r w:rsidR="00395B90">
        <w:rPr>
          <w:rFonts w:ascii="Century Schoolbook" w:hAnsi="Century Schoolbook"/>
          <w:sz w:val="28"/>
          <w:szCs w:val="28"/>
        </w:rPr>
        <w:t xml:space="preserve">the </w:t>
      </w:r>
      <w:r w:rsidRPr="00055C39">
        <w:rPr>
          <w:rFonts w:ascii="Century Schoolbook" w:hAnsi="Century Schoolbook"/>
          <w:sz w:val="28"/>
          <w:szCs w:val="28"/>
        </w:rPr>
        <w:t xml:space="preserve">applicant’s conviction and sentence on direct appeal, </w:t>
      </w:r>
      <w:r w:rsidR="00395B90">
        <w:rPr>
          <w:rFonts w:ascii="Century Schoolbook" w:hAnsi="Century Schoolbook"/>
          <w:sz w:val="28"/>
          <w:szCs w:val="28"/>
        </w:rPr>
        <w:t>it also</w:t>
      </w:r>
      <w:r w:rsidRPr="00055C39">
        <w:rPr>
          <w:rFonts w:ascii="Century Schoolbook" w:hAnsi="Century Schoolbook"/>
          <w:sz w:val="28"/>
          <w:szCs w:val="28"/>
        </w:rPr>
        <w:t xml:space="preserve"> denied relief on his initial application fo</w:t>
      </w:r>
      <w:r w:rsidR="00EA124A">
        <w:rPr>
          <w:rFonts w:ascii="Century Schoolbook" w:hAnsi="Century Schoolbook"/>
          <w:sz w:val="28"/>
          <w:szCs w:val="28"/>
        </w:rPr>
        <w:t xml:space="preserve">r writ of </w:t>
      </w:r>
      <w:r w:rsidRPr="00055C39">
        <w:rPr>
          <w:rFonts w:ascii="Century Schoolbook" w:hAnsi="Century Schoolbook"/>
          <w:sz w:val="28"/>
          <w:szCs w:val="28"/>
        </w:rPr>
        <w:t xml:space="preserve">habeas corpus and dismissed his </w:t>
      </w:r>
      <w:r w:rsidR="00931E67" w:rsidRPr="00055C39">
        <w:rPr>
          <w:rFonts w:ascii="Century Schoolbook" w:hAnsi="Century Schoolbook"/>
          <w:sz w:val="28"/>
          <w:szCs w:val="28"/>
        </w:rPr>
        <w:t>subsequent</w:t>
      </w:r>
      <w:r w:rsidRPr="00055C39">
        <w:rPr>
          <w:rFonts w:ascii="Century Schoolbook" w:hAnsi="Century Schoolbook"/>
          <w:sz w:val="28"/>
          <w:szCs w:val="28"/>
        </w:rPr>
        <w:t xml:space="preserve"> application, holding that the applicant failed to satisfy the requirements. </w:t>
      </w:r>
      <w:r w:rsidR="00931E67" w:rsidRPr="00055C39">
        <w:rPr>
          <w:rFonts w:ascii="Century Schoolbook" w:hAnsi="Century Schoolbook"/>
          <w:sz w:val="28"/>
          <w:szCs w:val="28"/>
        </w:rPr>
        <w:t xml:space="preserve">On his second application for a writ of habeas corpus, </w:t>
      </w:r>
      <w:r w:rsidR="00395B90">
        <w:rPr>
          <w:rFonts w:ascii="Century Schoolbook" w:hAnsi="Century Schoolbook"/>
          <w:sz w:val="28"/>
          <w:szCs w:val="28"/>
        </w:rPr>
        <w:t>the applicant</w:t>
      </w:r>
      <w:r w:rsidR="00931E67" w:rsidRPr="00055C39">
        <w:rPr>
          <w:rFonts w:ascii="Century Schoolbook" w:hAnsi="Century Schoolbook"/>
          <w:sz w:val="28"/>
          <w:szCs w:val="28"/>
        </w:rPr>
        <w:t xml:space="preserve"> claimed relief under Texas Code of Criminal Procedure Article 11.073, asserting that had the results of DNA test</w:t>
      </w:r>
      <w:r w:rsidR="00180E64" w:rsidRPr="00055C39">
        <w:rPr>
          <w:rFonts w:ascii="Century Schoolbook" w:hAnsi="Century Schoolbook"/>
          <w:sz w:val="28"/>
          <w:szCs w:val="28"/>
        </w:rPr>
        <w:t xml:space="preserve">ing been available at his trial </w:t>
      </w:r>
      <w:r w:rsidR="00931E67" w:rsidRPr="00055C39">
        <w:rPr>
          <w:rFonts w:ascii="Century Schoolbook" w:hAnsi="Century Schoolbook"/>
          <w:sz w:val="28"/>
          <w:szCs w:val="28"/>
        </w:rPr>
        <w:t xml:space="preserve">he would not have been convicted. The Court of Criminal Appeals reviewed the issue </w:t>
      </w:r>
      <w:r w:rsidR="00931E67" w:rsidRPr="00055C39">
        <w:rPr>
          <w:rFonts w:ascii="Century Schoolbook" w:hAnsi="Century Schoolbook"/>
          <w:i/>
          <w:sz w:val="28"/>
          <w:szCs w:val="28"/>
        </w:rPr>
        <w:t>de novo</w:t>
      </w:r>
      <w:r w:rsidR="00931E67" w:rsidRPr="00055C39">
        <w:rPr>
          <w:rFonts w:ascii="Century Schoolbook" w:hAnsi="Century Schoolbook"/>
          <w:sz w:val="28"/>
          <w:szCs w:val="28"/>
        </w:rPr>
        <w:t xml:space="preserve"> and affirmed</w:t>
      </w:r>
      <w:r w:rsidR="00395B90">
        <w:rPr>
          <w:rFonts w:ascii="Century Schoolbook" w:hAnsi="Century Schoolbook"/>
          <w:sz w:val="28"/>
          <w:szCs w:val="28"/>
        </w:rPr>
        <w:t xml:space="preserve"> the</w:t>
      </w:r>
      <w:r w:rsidR="00931E67" w:rsidRPr="00055C39">
        <w:rPr>
          <w:rFonts w:ascii="Century Schoolbook" w:hAnsi="Century Schoolbook"/>
          <w:sz w:val="28"/>
          <w:szCs w:val="28"/>
        </w:rPr>
        <w:t xml:space="preserve"> trial court’s judgment, holding that it was not reasonably probable that Robert Pruett would have been acquitted had the inconclusive DNA results been available at trial. </w:t>
      </w:r>
      <w:r w:rsidR="00276686" w:rsidRPr="00055C39">
        <w:rPr>
          <w:rFonts w:ascii="Century Schoolbook" w:hAnsi="Century Schoolbook"/>
          <w:sz w:val="28"/>
          <w:szCs w:val="28"/>
        </w:rPr>
        <w:t xml:space="preserve"> The court </w:t>
      </w:r>
      <w:r w:rsidR="00497FEB" w:rsidRPr="00055C39">
        <w:rPr>
          <w:rFonts w:ascii="Century Schoolbook" w:hAnsi="Century Schoolbook"/>
          <w:sz w:val="28"/>
          <w:szCs w:val="28"/>
        </w:rPr>
        <w:t>held</w:t>
      </w:r>
      <w:r w:rsidR="00395B90">
        <w:rPr>
          <w:rFonts w:ascii="Century Schoolbook" w:hAnsi="Century Schoolbook"/>
          <w:sz w:val="28"/>
          <w:szCs w:val="28"/>
        </w:rPr>
        <w:t xml:space="preserve"> that the applicant was</w:t>
      </w:r>
      <w:r w:rsidR="00276686" w:rsidRPr="00055C39">
        <w:rPr>
          <w:rFonts w:ascii="Century Schoolbook" w:hAnsi="Century Schoolbook"/>
          <w:sz w:val="28"/>
          <w:szCs w:val="28"/>
        </w:rPr>
        <w:t xml:space="preserve"> foreclosed from obtaining relief under Article </w:t>
      </w:r>
      <w:r w:rsidR="00395B90">
        <w:rPr>
          <w:rFonts w:ascii="Century Schoolbook" w:hAnsi="Century Schoolbook"/>
          <w:sz w:val="28"/>
          <w:szCs w:val="28"/>
        </w:rPr>
        <w:t>11.073 and his motion to stay was</w:t>
      </w:r>
      <w:r w:rsidR="00276686" w:rsidRPr="00055C39">
        <w:rPr>
          <w:rFonts w:ascii="Century Schoolbook" w:hAnsi="Century Schoolbook"/>
          <w:sz w:val="28"/>
          <w:szCs w:val="28"/>
        </w:rPr>
        <w:t xml:space="preserve"> denied. </w:t>
      </w:r>
    </w:p>
    <w:p w14:paraId="257DF889" w14:textId="77777777" w:rsidR="00BB7624" w:rsidRPr="00055C39" w:rsidRDefault="00BB7624" w:rsidP="00055C39">
      <w:pPr>
        <w:jc w:val="both"/>
        <w:rPr>
          <w:rFonts w:ascii="Century Schoolbook" w:hAnsi="Century Schoolbook"/>
          <w:sz w:val="28"/>
          <w:szCs w:val="28"/>
        </w:rPr>
      </w:pPr>
    </w:p>
    <w:p w14:paraId="5D96E1CC" w14:textId="35651CBC" w:rsidR="00BB7624" w:rsidRPr="00055C39" w:rsidRDefault="00055C39" w:rsidP="00055C39">
      <w:pPr>
        <w:jc w:val="both"/>
        <w:rPr>
          <w:rFonts w:ascii="Century Schoolbook" w:hAnsi="Century Schoolbook"/>
          <w:sz w:val="28"/>
          <w:szCs w:val="28"/>
          <w:u w:val="single"/>
        </w:rPr>
      </w:pPr>
      <w:r>
        <w:rPr>
          <w:rFonts w:ascii="Century Schoolbook" w:hAnsi="Century Schoolbook"/>
          <w:sz w:val="28"/>
          <w:szCs w:val="28"/>
          <w:u w:val="single"/>
        </w:rPr>
        <w:t xml:space="preserve">JUDGE ALCALA, </w:t>
      </w:r>
      <w:r w:rsidR="00BB7624" w:rsidRPr="00055C39">
        <w:rPr>
          <w:rFonts w:ascii="Century Schoolbook" w:hAnsi="Century Schoolbook"/>
          <w:sz w:val="28"/>
          <w:szCs w:val="28"/>
          <w:u w:val="single"/>
        </w:rPr>
        <w:t>dis</w:t>
      </w:r>
      <w:r>
        <w:rPr>
          <w:rFonts w:ascii="Century Schoolbook" w:hAnsi="Century Schoolbook"/>
          <w:sz w:val="28"/>
          <w:szCs w:val="28"/>
          <w:u w:val="single"/>
        </w:rPr>
        <w:t>senting.</w:t>
      </w:r>
    </w:p>
    <w:p w14:paraId="2BAEF45E" w14:textId="242E18E5" w:rsidR="00B53E8D" w:rsidRPr="00055C39" w:rsidRDefault="00055C39" w:rsidP="00055C39">
      <w:pPr>
        <w:ind w:firstLine="720"/>
        <w:jc w:val="both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Judge Alcala believed</w:t>
      </w:r>
      <w:r w:rsidR="00BB7624" w:rsidRPr="00055C39">
        <w:rPr>
          <w:rFonts w:ascii="Century Schoolbook" w:hAnsi="Century Schoolbook"/>
          <w:sz w:val="28"/>
          <w:szCs w:val="28"/>
        </w:rPr>
        <w:t xml:space="preserve"> that the motion to stay the impending execution for capital murder conviction should </w:t>
      </w:r>
      <w:r w:rsidR="00ED256F">
        <w:rPr>
          <w:rFonts w:ascii="Century Schoolbook" w:hAnsi="Century Schoolbook"/>
          <w:sz w:val="28"/>
          <w:szCs w:val="28"/>
        </w:rPr>
        <w:t>have been</w:t>
      </w:r>
      <w:r w:rsidR="00BB7624" w:rsidRPr="00055C39">
        <w:rPr>
          <w:rFonts w:ascii="Century Schoolbook" w:hAnsi="Century Schoolbook"/>
          <w:sz w:val="28"/>
          <w:szCs w:val="28"/>
        </w:rPr>
        <w:t xml:space="preserve"> granted in favor of Robert Lynn Pruett. </w:t>
      </w:r>
      <w:r w:rsidR="00ED256F">
        <w:rPr>
          <w:rFonts w:ascii="Century Schoolbook" w:hAnsi="Century Schoolbook"/>
          <w:sz w:val="28"/>
          <w:szCs w:val="28"/>
        </w:rPr>
        <w:t>She believed</w:t>
      </w:r>
      <w:r w:rsidR="00B53E8D" w:rsidRPr="00055C39">
        <w:rPr>
          <w:rFonts w:ascii="Century Schoolbook" w:hAnsi="Century Schoolbook"/>
          <w:sz w:val="28"/>
          <w:szCs w:val="28"/>
        </w:rPr>
        <w:t xml:space="preserve"> that the evidence should be examined more closely</w:t>
      </w:r>
      <w:r w:rsidR="00ED256F">
        <w:rPr>
          <w:rFonts w:ascii="Century Schoolbook" w:hAnsi="Century Schoolbook"/>
          <w:sz w:val="28"/>
          <w:szCs w:val="28"/>
        </w:rPr>
        <w:t>,</w:t>
      </w:r>
      <w:r w:rsidR="00B53E8D" w:rsidRPr="00055C39">
        <w:rPr>
          <w:rFonts w:ascii="Century Schoolbook" w:hAnsi="Century Schoolbook"/>
          <w:sz w:val="28"/>
          <w:szCs w:val="28"/>
        </w:rPr>
        <w:t xml:space="preserve"> and therefore</w:t>
      </w:r>
      <w:r w:rsidR="00ED256F">
        <w:rPr>
          <w:rFonts w:ascii="Century Schoolbook" w:hAnsi="Century Schoolbook"/>
          <w:sz w:val="28"/>
          <w:szCs w:val="28"/>
        </w:rPr>
        <w:t>,</w:t>
      </w:r>
      <w:r w:rsidR="00B53E8D" w:rsidRPr="00055C39">
        <w:rPr>
          <w:rFonts w:ascii="Century Schoolbook" w:hAnsi="Century Schoolbook"/>
          <w:sz w:val="28"/>
          <w:szCs w:val="28"/>
        </w:rPr>
        <w:t xml:space="preserve"> the court should remand the habeas</w:t>
      </w:r>
      <w:r w:rsidR="00ED256F">
        <w:rPr>
          <w:rFonts w:ascii="Century Schoolbook" w:hAnsi="Century Schoolbook"/>
          <w:sz w:val="28"/>
          <w:szCs w:val="28"/>
        </w:rPr>
        <w:t xml:space="preserve"> corpus</w:t>
      </w:r>
      <w:r w:rsidR="00B53E8D" w:rsidRPr="00055C39">
        <w:rPr>
          <w:rFonts w:ascii="Century Schoolbook" w:hAnsi="Century Schoolbook"/>
          <w:sz w:val="28"/>
          <w:szCs w:val="28"/>
        </w:rPr>
        <w:t xml:space="preserve"> claim to the habeas court for an evident</w:t>
      </w:r>
      <w:r w:rsidR="00ED256F">
        <w:rPr>
          <w:rFonts w:ascii="Century Schoolbook" w:hAnsi="Century Schoolbook"/>
          <w:sz w:val="28"/>
          <w:szCs w:val="28"/>
        </w:rPr>
        <w:t>iary hearing. Judge Alcala found</w:t>
      </w:r>
      <w:r w:rsidR="00B53E8D" w:rsidRPr="00055C39">
        <w:rPr>
          <w:rFonts w:ascii="Century Schoolbook" w:hAnsi="Century Schoolbook"/>
          <w:sz w:val="28"/>
          <w:szCs w:val="28"/>
        </w:rPr>
        <w:t xml:space="preserve"> that the applicant’s conviction was based on inmate testimony and “junk science,” which </w:t>
      </w:r>
      <w:r w:rsidR="00ED256F">
        <w:rPr>
          <w:rFonts w:ascii="Century Schoolbook" w:hAnsi="Century Schoolbook"/>
          <w:sz w:val="28"/>
          <w:szCs w:val="28"/>
        </w:rPr>
        <w:t>she believed the l</w:t>
      </w:r>
      <w:r w:rsidR="00B53E8D" w:rsidRPr="00055C39">
        <w:rPr>
          <w:rFonts w:ascii="Century Schoolbook" w:hAnsi="Century Schoolbook"/>
          <w:sz w:val="28"/>
          <w:szCs w:val="28"/>
        </w:rPr>
        <w:t xml:space="preserve">egislature found to be unreliable. </w:t>
      </w:r>
      <w:r w:rsidR="00E42E60">
        <w:rPr>
          <w:rFonts w:ascii="Century Schoolbook" w:hAnsi="Century Schoolbook"/>
          <w:sz w:val="28"/>
          <w:szCs w:val="28"/>
        </w:rPr>
        <w:t xml:space="preserve"> Furthermore, Judge Alcala determined</w:t>
      </w:r>
      <w:r w:rsidR="00B53E8D" w:rsidRPr="00055C39">
        <w:rPr>
          <w:rFonts w:ascii="Century Schoolbook" w:hAnsi="Century Schoolbook"/>
          <w:sz w:val="28"/>
          <w:szCs w:val="28"/>
        </w:rPr>
        <w:t xml:space="preserve"> that the petitioner’s previous applications for habeas corpus on grounds of ineffective counsel and due process violations </w:t>
      </w:r>
      <w:r w:rsidR="00E42E60">
        <w:rPr>
          <w:rFonts w:ascii="Century Schoolbook" w:hAnsi="Century Schoolbook"/>
          <w:sz w:val="28"/>
          <w:szCs w:val="28"/>
        </w:rPr>
        <w:t xml:space="preserve">should </w:t>
      </w:r>
      <w:r w:rsidR="00B53E8D" w:rsidRPr="00055C39">
        <w:rPr>
          <w:rFonts w:ascii="Century Schoolbook" w:hAnsi="Century Schoolbook"/>
          <w:sz w:val="28"/>
          <w:szCs w:val="28"/>
        </w:rPr>
        <w:t xml:space="preserve">be reopened sua sponte. </w:t>
      </w:r>
    </w:p>
    <w:p w14:paraId="7F3DADA4" w14:textId="7AFE2D5A" w:rsidR="00CA351E" w:rsidRPr="00055C39" w:rsidRDefault="00B53E8D" w:rsidP="00055C39">
      <w:pPr>
        <w:jc w:val="both"/>
        <w:rPr>
          <w:rFonts w:ascii="Century Schoolbook" w:hAnsi="Century Schoolbook"/>
          <w:sz w:val="28"/>
          <w:szCs w:val="28"/>
        </w:rPr>
      </w:pPr>
      <w:r w:rsidRPr="00055C39">
        <w:rPr>
          <w:rFonts w:ascii="Century Schoolbook" w:hAnsi="Century Schoolbook"/>
          <w:sz w:val="28"/>
          <w:szCs w:val="28"/>
        </w:rPr>
        <w:t xml:space="preserve"> </w:t>
      </w:r>
      <w:r w:rsidR="00055C39">
        <w:rPr>
          <w:rFonts w:ascii="Century Schoolbook" w:hAnsi="Century Schoolbook"/>
          <w:sz w:val="28"/>
          <w:szCs w:val="28"/>
        </w:rPr>
        <w:tab/>
      </w:r>
      <w:r w:rsidR="00CA351E" w:rsidRPr="00055C39">
        <w:rPr>
          <w:rFonts w:ascii="Century Schoolbook" w:hAnsi="Century Schoolbook"/>
          <w:sz w:val="28"/>
          <w:szCs w:val="28"/>
        </w:rPr>
        <w:t>J</w:t>
      </w:r>
      <w:r w:rsidR="00055C39">
        <w:rPr>
          <w:rFonts w:ascii="Century Schoolbook" w:hAnsi="Century Schoolbook"/>
          <w:sz w:val="28"/>
          <w:szCs w:val="28"/>
        </w:rPr>
        <w:t>udge Alcala contended</w:t>
      </w:r>
      <w:r w:rsidR="00CA351E" w:rsidRPr="00055C39">
        <w:rPr>
          <w:rFonts w:ascii="Century Schoolbook" w:hAnsi="Century Schoolbook"/>
          <w:sz w:val="28"/>
          <w:szCs w:val="28"/>
        </w:rPr>
        <w:t xml:space="preserve"> that Article 11.073 was written to allow post conviction challenges based on scientific evidence that could not be </w:t>
      </w:r>
      <w:r w:rsidR="00CA351E" w:rsidRPr="00055C39">
        <w:rPr>
          <w:rFonts w:ascii="Century Schoolbook" w:hAnsi="Century Schoolbook"/>
          <w:sz w:val="28"/>
          <w:szCs w:val="28"/>
        </w:rPr>
        <w:lastRenderedPageBreak/>
        <w:t>offered by the convicted individual at trial or scientific evidence that contra</w:t>
      </w:r>
      <w:r w:rsidR="00E42E60">
        <w:rPr>
          <w:rFonts w:ascii="Century Schoolbook" w:hAnsi="Century Schoolbook"/>
          <w:sz w:val="28"/>
          <w:szCs w:val="28"/>
        </w:rPr>
        <w:t>dicts the evidence used by the s</w:t>
      </w:r>
      <w:r w:rsidR="00CA351E" w:rsidRPr="00055C39">
        <w:rPr>
          <w:rFonts w:ascii="Century Schoolbook" w:hAnsi="Century Schoolbook"/>
          <w:sz w:val="28"/>
          <w:szCs w:val="28"/>
        </w:rPr>
        <w:t xml:space="preserve">tate during trial. </w:t>
      </w:r>
      <w:r w:rsidR="00E42E60">
        <w:rPr>
          <w:rFonts w:ascii="Century Schoolbook" w:hAnsi="Century Schoolbook"/>
          <w:sz w:val="28"/>
          <w:szCs w:val="28"/>
        </w:rPr>
        <w:t>She contended</w:t>
      </w:r>
      <w:r w:rsidR="00180E64" w:rsidRPr="00055C39">
        <w:rPr>
          <w:rFonts w:ascii="Century Schoolbook" w:hAnsi="Century Schoolbook"/>
          <w:sz w:val="28"/>
          <w:szCs w:val="28"/>
        </w:rPr>
        <w:t xml:space="preserve"> that the science of physical match comparison used in convicting </w:t>
      </w:r>
      <w:r w:rsidR="00E42E60">
        <w:rPr>
          <w:rFonts w:ascii="Century Schoolbook" w:hAnsi="Century Schoolbook"/>
          <w:sz w:val="28"/>
          <w:szCs w:val="28"/>
        </w:rPr>
        <w:t xml:space="preserve">the </w:t>
      </w:r>
      <w:r w:rsidR="00180E64" w:rsidRPr="00055C39">
        <w:rPr>
          <w:rFonts w:ascii="Century Schoolbook" w:hAnsi="Century Schoolbook"/>
          <w:sz w:val="28"/>
          <w:szCs w:val="28"/>
        </w:rPr>
        <w:t xml:space="preserve">defendant </w:t>
      </w:r>
      <w:r w:rsidR="00E42E60">
        <w:rPr>
          <w:rFonts w:ascii="Century Schoolbook" w:hAnsi="Century Schoolbook"/>
          <w:sz w:val="28"/>
          <w:szCs w:val="28"/>
        </w:rPr>
        <w:t>required closer examination</w:t>
      </w:r>
      <w:r w:rsidR="00180E64" w:rsidRPr="00055C39">
        <w:rPr>
          <w:rFonts w:ascii="Century Schoolbook" w:hAnsi="Century Schoolbook"/>
          <w:sz w:val="28"/>
          <w:szCs w:val="28"/>
        </w:rPr>
        <w:t xml:space="preserve">, especially after the publication of a 2009 forensic report published by the National Academy of Sciences </w:t>
      </w:r>
      <w:r w:rsidR="00E42E60">
        <w:rPr>
          <w:rFonts w:ascii="Century Schoolbook" w:hAnsi="Century Schoolbook"/>
          <w:sz w:val="28"/>
          <w:szCs w:val="28"/>
        </w:rPr>
        <w:t>discredited the science that the s</w:t>
      </w:r>
      <w:r w:rsidR="00180E64" w:rsidRPr="00055C39">
        <w:rPr>
          <w:rFonts w:ascii="Century Schoolbook" w:hAnsi="Century Schoolbook"/>
          <w:sz w:val="28"/>
          <w:szCs w:val="28"/>
        </w:rPr>
        <w:t xml:space="preserve">tate relied on during trial. </w:t>
      </w:r>
    </w:p>
    <w:p w14:paraId="4278DEF1" w14:textId="0A49AC2B" w:rsidR="003026D2" w:rsidRPr="00055C39" w:rsidRDefault="00591B93" w:rsidP="00055C39">
      <w:pPr>
        <w:ind w:firstLine="720"/>
        <w:jc w:val="both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 xml:space="preserve">Speaking to </w:t>
      </w:r>
      <w:r w:rsidR="00E42E60">
        <w:rPr>
          <w:rFonts w:ascii="Century Schoolbook" w:hAnsi="Century Schoolbook"/>
          <w:sz w:val="28"/>
          <w:szCs w:val="28"/>
        </w:rPr>
        <w:t xml:space="preserve">the </w:t>
      </w:r>
      <w:r w:rsidR="003026D2" w:rsidRPr="00055C39">
        <w:rPr>
          <w:rFonts w:ascii="Century Schoolbook" w:hAnsi="Century Schoolbook"/>
          <w:sz w:val="28"/>
          <w:szCs w:val="28"/>
        </w:rPr>
        <w:t xml:space="preserve">applicant’s second application for writ of habeas corpus, </w:t>
      </w:r>
      <w:r>
        <w:rPr>
          <w:rFonts w:ascii="Century Schoolbook" w:hAnsi="Century Schoolbook"/>
          <w:sz w:val="28"/>
          <w:szCs w:val="28"/>
        </w:rPr>
        <w:t>Judge Alcala contended</w:t>
      </w:r>
      <w:r w:rsidR="003026D2" w:rsidRPr="00055C39">
        <w:rPr>
          <w:rFonts w:ascii="Century Schoolbook" w:hAnsi="Century Schoolbook"/>
          <w:sz w:val="28"/>
          <w:szCs w:val="28"/>
        </w:rPr>
        <w:t xml:space="preserve"> </w:t>
      </w:r>
      <w:r w:rsidR="0044019A" w:rsidRPr="00055C39">
        <w:rPr>
          <w:rFonts w:ascii="Century Schoolbook" w:hAnsi="Century Schoolbook"/>
          <w:sz w:val="28"/>
          <w:szCs w:val="28"/>
        </w:rPr>
        <w:t>the applican</w:t>
      </w:r>
      <w:r w:rsidR="00497FEB" w:rsidRPr="00055C39">
        <w:rPr>
          <w:rFonts w:ascii="Century Schoolbook" w:hAnsi="Century Schoolbook"/>
          <w:sz w:val="28"/>
          <w:szCs w:val="28"/>
        </w:rPr>
        <w:t>t made a valid prima facie case</w:t>
      </w:r>
      <w:r w:rsidR="0044019A" w:rsidRPr="00055C39">
        <w:rPr>
          <w:rFonts w:ascii="Century Schoolbook" w:hAnsi="Century Schoolbook"/>
          <w:sz w:val="28"/>
          <w:szCs w:val="28"/>
        </w:rPr>
        <w:t xml:space="preserve"> that his due process rights were violated, that</w:t>
      </w:r>
      <w:r w:rsidR="003026D2" w:rsidRPr="00055C39">
        <w:rPr>
          <w:rFonts w:ascii="Century Schoolbook" w:hAnsi="Century Schoolbook"/>
          <w:sz w:val="28"/>
          <w:szCs w:val="28"/>
        </w:rPr>
        <w:t xml:space="preserve"> </w:t>
      </w:r>
      <w:r>
        <w:rPr>
          <w:rFonts w:ascii="Century Schoolbook" w:hAnsi="Century Schoolbook"/>
          <w:sz w:val="28"/>
          <w:szCs w:val="28"/>
        </w:rPr>
        <w:t>the legislature determined</w:t>
      </w:r>
      <w:r w:rsidR="003026D2" w:rsidRPr="00055C39">
        <w:rPr>
          <w:rFonts w:ascii="Century Schoolbook" w:hAnsi="Century Schoolbook"/>
          <w:sz w:val="28"/>
          <w:szCs w:val="28"/>
        </w:rPr>
        <w:t xml:space="preserve"> testimony made by an inmate against another is inherently unreliab</w:t>
      </w:r>
      <w:r w:rsidR="0044019A" w:rsidRPr="00055C39">
        <w:rPr>
          <w:rFonts w:ascii="Century Schoolbook" w:hAnsi="Century Schoolbook"/>
          <w:sz w:val="28"/>
          <w:szCs w:val="28"/>
        </w:rPr>
        <w:t>le, and there</w:t>
      </w:r>
      <w:r w:rsidR="003026D2" w:rsidRPr="00055C39">
        <w:rPr>
          <w:rFonts w:ascii="Century Schoolbook" w:hAnsi="Century Schoolbook"/>
          <w:sz w:val="28"/>
          <w:szCs w:val="28"/>
        </w:rPr>
        <w:t>fore</w:t>
      </w:r>
      <w:r>
        <w:rPr>
          <w:rFonts w:ascii="Century Schoolbook" w:hAnsi="Century Schoolbook"/>
          <w:sz w:val="28"/>
          <w:szCs w:val="28"/>
        </w:rPr>
        <w:t>,</w:t>
      </w:r>
      <w:r w:rsidR="003026D2" w:rsidRPr="00055C39">
        <w:rPr>
          <w:rFonts w:ascii="Century Schoolbook" w:hAnsi="Century Schoolbook"/>
          <w:sz w:val="28"/>
          <w:szCs w:val="28"/>
        </w:rPr>
        <w:t xml:space="preserve"> his application should be remanded to the h</w:t>
      </w:r>
      <w:r>
        <w:rPr>
          <w:rFonts w:ascii="Century Schoolbook" w:hAnsi="Century Schoolbook"/>
          <w:sz w:val="28"/>
          <w:szCs w:val="28"/>
        </w:rPr>
        <w:t>abeas court. Furthermore, she</w:t>
      </w:r>
      <w:r w:rsidR="0044019A" w:rsidRPr="00055C39">
        <w:rPr>
          <w:rFonts w:ascii="Century Schoolbook" w:hAnsi="Century Schoolbook"/>
          <w:sz w:val="28"/>
          <w:szCs w:val="28"/>
        </w:rPr>
        <w:t xml:space="preserve"> </w:t>
      </w:r>
      <w:r>
        <w:rPr>
          <w:rFonts w:ascii="Century Schoolbook" w:hAnsi="Century Schoolbook"/>
          <w:sz w:val="28"/>
          <w:szCs w:val="28"/>
        </w:rPr>
        <w:t>argued</w:t>
      </w:r>
      <w:r w:rsidR="0044019A" w:rsidRPr="00055C39">
        <w:rPr>
          <w:rFonts w:ascii="Century Schoolbook" w:hAnsi="Century Schoolbook"/>
          <w:sz w:val="28"/>
          <w:szCs w:val="28"/>
        </w:rPr>
        <w:t xml:space="preserve"> that the applicant made a sufficient prima facie case of inadequate counsel, arguing that </w:t>
      </w:r>
      <w:r>
        <w:rPr>
          <w:rFonts w:ascii="Century Schoolbook" w:hAnsi="Century Schoolbook"/>
          <w:sz w:val="28"/>
          <w:szCs w:val="28"/>
        </w:rPr>
        <w:t xml:space="preserve">the </w:t>
      </w:r>
      <w:r w:rsidR="0044019A" w:rsidRPr="00055C39">
        <w:rPr>
          <w:rFonts w:ascii="Century Schoolbook" w:hAnsi="Century Schoolbook"/>
          <w:sz w:val="28"/>
          <w:szCs w:val="28"/>
        </w:rPr>
        <w:t xml:space="preserve">counsel’s inability to raise a meritorious claim should be sufficient to overcome </w:t>
      </w:r>
      <w:r>
        <w:rPr>
          <w:rFonts w:ascii="Century Schoolbook" w:hAnsi="Century Schoolbook"/>
          <w:sz w:val="28"/>
          <w:szCs w:val="28"/>
        </w:rPr>
        <w:t xml:space="preserve">a </w:t>
      </w:r>
      <w:r w:rsidR="0044019A" w:rsidRPr="00055C39">
        <w:rPr>
          <w:rFonts w:ascii="Century Schoolbook" w:hAnsi="Century Schoolbook"/>
          <w:sz w:val="28"/>
          <w:szCs w:val="28"/>
        </w:rPr>
        <w:t>barrier on subsequent writs of habeas</w:t>
      </w:r>
      <w:r>
        <w:rPr>
          <w:rFonts w:ascii="Century Schoolbook" w:hAnsi="Century Schoolbook"/>
          <w:sz w:val="28"/>
          <w:szCs w:val="28"/>
        </w:rPr>
        <w:t xml:space="preserve"> corpus</w:t>
      </w:r>
      <w:r w:rsidR="0044019A" w:rsidRPr="00055C39">
        <w:rPr>
          <w:rFonts w:ascii="Century Schoolbook" w:hAnsi="Century Schoolbook"/>
          <w:sz w:val="28"/>
          <w:szCs w:val="28"/>
        </w:rPr>
        <w:t xml:space="preserve">.  </w:t>
      </w:r>
    </w:p>
    <w:sectPr w:rsidR="003026D2" w:rsidRPr="00055C39" w:rsidSect="00DC2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E78"/>
    <w:rsid w:val="00000BA6"/>
    <w:rsid w:val="00055C39"/>
    <w:rsid w:val="00180E64"/>
    <w:rsid w:val="001A756E"/>
    <w:rsid w:val="00276686"/>
    <w:rsid w:val="002D788D"/>
    <w:rsid w:val="003026D2"/>
    <w:rsid w:val="00395B90"/>
    <w:rsid w:val="0044019A"/>
    <w:rsid w:val="00497FEB"/>
    <w:rsid w:val="00591B93"/>
    <w:rsid w:val="00636EB3"/>
    <w:rsid w:val="00931E67"/>
    <w:rsid w:val="00B53E8D"/>
    <w:rsid w:val="00BB7624"/>
    <w:rsid w:val="00CA351E"/>
    <w:rsid w:val="00DC2E78"/>
    <w:rsid w:val="00E42E60"/>
    <w:rsid w:val="00EA124A"/>
    <w:rsid w:val="00ED256F"/>
    <w:rsid w:val="00F5404A"/>
    <w:rsid w:val="00FA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9A5D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2E7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2E7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46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0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8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0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7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7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3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5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9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52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455</Words>
  <Characters>2596</Characters>
  <Application>Microsoft Macintosh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Zirwa Sheikh</dc:creator>
  <cp:keywords/>
  <dc:description/>
  <cp:lastModifiedBy>Allison Grayson</cp:lastModifiedBy>
  <cp:revision>15</cp:revision>
  <dcterms:created xsi:type="dcterms:W3CDTF">2015-08-21T02:29:00Z</dcterms:created>
  <dcterms:modified xsi:type="dcterms:W3CDTF">2015-08-21T17:07:00Z</dcterms:modified>
</cp:coreProperties>
</file>